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宋体" w:hAnsi="宋体" w:eastAsia="仿宋_GB2312" w:cs="宋体"/>
          <w:b/>
          <w:kern w:val="0"/>
        </w:rPr>
      </w:pPr>
    </w:p>
    <w:p>
      <w:pPr>
        <w:widowControl/>
        <w:spacing w:line="600" w:lineRule="exact"/>
        <w:jc w:val="center"/>
        <w:rPr>
          <w:rFonts w:ascii="宋体" w:hAnsi="宋体" w:eastAsia="仿宋_GB2312" w:cs="宋体"/>
          <w:b/>
          <w:kern w:val="0"/>
        </w:rPr>
      </w:pPr>
    </w:p>
    <w:p>
      <w:pPr>
        <w:widowControl/>
        <w:spacing w:line="600" w:lineRule="exact"/>
        <w:jc w:val="center"/>
        <w:rPr>
          <w:rFonts w:ascii="宋体" w:hAnsi="宋体" w:eastAsia="仿宋_GB2312" w:cs="宋体"/>
          <w:b/>
          <w:kern w:val="0"/>
        </w:rPr>
      </w:pPr>
    </w:p>
    <w:p>
      <w:pPr>
        <w:widowControl/>
        <w:spacing w:line="600" w:lineRule="exact"/>
        <w:jc w:val="center"/>
        <w:rPr>
          <w:rFonts w:ascii="宋体" w:hAnsi="宋体" w:eastAsia="仿宋_GB2312" w:cs="宋体"/>
          <w:b/>
          <w:kern w:val="0"/>
        </w:rPr>
      </w:pPr>
    </w:p>
    <w:p>
      <w:pPr>
        <w:widowControl/>
        <w:spacing w:line="600" w:lineRule="exact"/>
        <w:jc w:val="center"/>
        <w:rPr>
          <w:rFonts w:ascii="宋体" w:hAnsi="宋体" w:eastAsia="仿宋_GB2312" w:cs="宋体"/>
          <w:b/>
          <w:kern w:val="0"/>
        </w:rPr>
      </w:pPr>
    </w:p>
    <w:p>
      <w:pPr>
        <w:widowControl/>
        <w:spacing w:line="600" w:lineRule="exact"/>
        <w:jc w:val="center"/>
        <w:rPr>
          <w:rFonts w:ascii="宋体" w:hAnsi="宋体" w:eastAsia="仿宋_GB2312" w:cs="宋体"/>
          <w:b/>
          <w:kern w:val="0"/>
        </w:rPr>
      </w:pPr>
    </w:p>
    <w:p>
      <w:pPr>
        <w:jc w:val="center"/>
        <w:rPr>
          <w:rFonts w:ascii="宋体" w:hAnsi="宋体" w:eastAsia="仿宋_GB2312" w:cs="宋体"/>
          <w:b/>
          <w:kern w:val="0"/>
          <w:sz w:val="44"/>
          <w:szCs w:val="44"/>
        </w:rPr>
      </w:pPr>
      <w:r>
        <w:rPr>
          <w:rFonts w:hint="eastAsia" w:eastAsia="仿宋_GB2312"/>
        </w:rPr>
        <w:t>辽科发〔</w:t>
      </w:r>
      <w:r>
        <w:rPr>
          <w:rFonts w:hint="eastAsia" w:ascii="Times New Roman" w:hAnsi="Times New Roman" w:eastAsia="仿宋_GB2312"/>
        </w:rPr>
        <w:t>2022</w:t>
      </w:r>
      <w:r>
        <w:rPr>
          <w:rFonts w:hint="eastAsia" w:eastAsia="仿宋_GB2312"/>
        </w:rPr>
        <w:t>〕</w:t>
      </w:r>
      <w:r>
        <w:rPr>
          <w:rFonts w:hint="eastAsia" w:ascii="Times New Roman" w:hAnsi="Times New Roman" w:eastAsia="仿宋_GB2312"/>
          <w:lang w:val="en-US" w:eastAsia="zh-CN"/>
        </w:rPr>
        <w:t>1</w:t>
      </w:r>
      <w:r>
        <w:rPr>
          <w:rFonts w:hint="eastAsia"/>
          <w:lang w:val="en-US" w:eastAsia="zh-CN"/>
        </w:rPr>
        <w:t>7</w:t>
      </w:r>
      <w:r>
        <w:rPr>
          <w:rFonts w:hint="eastAsia" w:eastAsia="仿宋_GB2312"/>
        </w:rPr>
        <w:t>号</w:t>
      </w:r>
      <w:bookmarkStart w:id="0" w:name="_GoBack"/>
      <w:bookmarkEnd w:id="0"/>
    </w:p>
    <w:p>
      <w:pPr>
        <w:widowControl/>
        <w:spacing w:line="400" w:lineRule="exact"/>
        <w:jc w:val="center"/>
        <w:rPr>
          <w:rFonts w:ascii="宋体" w:hAnsi="宋体" w:eastAsia="仿宋_GB2312" w:cs="宋体"/>
          <w:b/>
          <w:kern w:val="0"/>
          <w:sz w:val="24"/>
          <w:szCs w:val="24"/>
        </w:rPr>
      </w:pPr>
    </w:p>
    <w:p>
      <w:pPr>
        <w:widowControl/>
        <w:spacing w:line="400" w:lineRule="exact"/>
        <w:jc w:val="center"/>
        <w:rPr>
          <w:rFonts w:ascii="宋体" w:hAnsi="宋体" w:eastAsia="仿宋_GB2312" w:cs="宋体"/>
          <w:b/>
          <w:kern w:val="0"/>
          <w:sz w:val="24"/>
          <w:szCs w:val="24"/>
        </w:rPr>
      </w:pPr>
    </w:p>
    <w:p>
      <w:pPr>
        <w:adjustRightInd w:val="0"/>
        <w:snapToGrid w:val="0"/>
        <w:spacing w:line="640" w:lineRule="exact"/>
        <w:jc w:val="center"/>
        <w:rPr>
          <w:rFonts w:asciiTheme="minorEastAsia" w:hAnsiTheme="minorEastAsia" w:eastAsiaTheme="minorEastAsia"/>
          <w:b/>
          <w:sz w:val="44"/>
          <w:szCs w:val="44"/>
        </w:rPr>
      </w:pPr>
      <w:r>
        <w:rPr>
          <w:rFonts w:hint="eastAsia" w:eastAsia="方正小标宋简体" w:cs="Times New Roman"/>
          <w:bCs/>
          <w:sz w:val="44"/>
          <w:szCs w:val="44"/>
        </w:rPr>
        <w:t>关于印发《辽宁省科技计划项目管理办法》的通知</w:t>
      </w:r>
    </w:p>
    <w:p>
      <w:pPr>
        <w:keepNext w:val="0"/>
        <w:keepLines w:val="0"/>
        <w:pageBreakBefore w:val="0"/>
        <w:widowControl w:val="0"/>
        <w:kinsoku/>
        <w:wordWrap/>
        <w:overflowPunct/>
        <w:topLinePunct w:val="0"/>
        <w:autoSpaceDE/>
        <w:autoSpaceDN/>
        <w:bidi w:val="0"/>
        <w:snapToGrid/>
        <w:spacing w:line="600" w:lineRule="exact"/>
        <w:jc w:val="center"/>
        <w:textAlignment w:val="auto"/>
        <w:rPr>
          <w:rFonts w:ascii="宋体" w:hAnsi="宋体" w:eastAsia="宋体"/>
          <w:b/>
          <w:sz w:val="44"/>
          <w:szCs w:val="44"/>
        </w:rPr>
      </w:pPr>
    </w:p>
    <w:p>
      <w:pPr>
        <w:keepNext w:val="0"/>
        <w:keepLines w:val="0"/>
        <w:pageBreakBefore w:val="0"/>
        <w:widowControl w:val="0"/>
        <w:kinsoku/>
        <w:overflowPunct/>
        <w:topLinePunct w:val="0"/>
        <w:autoSpaceDE/>
        <w:autoSpaceDN/>
        <w:bidi w:val="0"/>
        <w:snapToGrid/>
        <w:spacing w:line="600" w:lineRule="exact"/>
        <w:jc w:val="left"/>
        <w:textAlignment w:val="auto"/>
        <w:rPr>
          <w:rFonts w:ascii="仿宋" w:hAnsi="仿宋" w:eastAsia="仿宋_GB2312"/>
          <w:bCs/>
          <w:sz w:val="32"/>
          <w:szCs w:val="32"/>
        </w:rPr>
      </w:pPr>
      <w:r>
        <w:rPr>
          <w:rFonts w:hint="eastAsia" w:ascii="仿宋" w:hAnsi="仿宋" w:eastAsia="仿宋_GB2312"/>
          <w:bCs/>
          <w:sz w:val="32"/>
          <w:szCs w:val="32"/>
        </w:rPr>
        <w:t>各市及沈抚示范区科技局、</w:t>
      </w:r>
      <w:r>
        <w:rPr>
          <w:rFonts w:hint="eastAsia" w:ascii="仿宋" w:hAnsi="仿宋" w:eastAsia="仿宋_GB2312"/>
          <w:bCs/>
          <w:sz w:val="32"/>
          <w:szCs w:val="32"/>
          <w:lang w:val="en-US" w:eastAsia="zh-CN"/>
        </w:rPr>
        <w:t>财政</w:t>
      </w:r>
      <w:r>
        <w:rPr>
          <w:rFonts w:hint="eastAsia" w:ascii="仿宋" w:hAnsi="仿宋" w:eastAsia="仿宋_GB2312"/>
          <w:bCs/>
          <w:sz w:val="32"/>
          <w:szCs w:val="32"/>
        </w:rPr>
        <w:t>局，各有关单位：</w:t>
      </w:r>
    </w:p>
    <w:p>
      <w:pPr>
        <w:keepNext w:val="0"/>
        <w:keepLines w:val="0"/>
        <w:pageBreakBefore w:val="0"/>
        <w:widowControl w:val="0"/>
        <w:kinsoku/>
        <w:overflowPunct/>
        <w:topLinePunct w:val="0"/>
        <w:autoSpaceDE/>
        <w:autoSpaceDN/>
        <w:bidi w:val="0"/>
        <w:snapToGrid/>
        <w:spacing w:line="600" w:lineRule="exact"/>
        <w:ind w:firstLine="645"/>
        <w:jc w:val="left"/>
        <w:textAlignment w:val="auto"/>
        <w:rPr>
          <w:rFonts w:hint="eastAsia" w:ascii="仿宋" w:hAnsi="仿宋" w:eastAsia="仿宋_GB2312"/>
          <w:bCs/>
          <w:sz w:val="32"/>
          <w:szCs w:val="32"/>
        </w:rPr>
      </w:pPr>
      <w:r>
        <w:rPr>
          <w:rFonts w:hint="eastAsia" w:ascii="仿宋" w:hAnsi="仿宋" w:eastAsia="仿宋_GB2312"/>
          <w:bCs/>
          <w:sz w:val="32"/>
          <w:szCs w:val="32"/>
        </w:rPr>
        <w:t>为进一步规范和完善辽宁省科技计划项目管理，省科技厅会同省财政厅制定了《辽宁省科技计划项目管理办法》，现印发给你们，请遵照执行。</w:t>
      </w:r>
    </w:p>
    <w:p>
      <w:pPr>
        <w:keepNext w:val="0"/>
        <w:keepLines w:val="0"/>
        <w:pageBreakBefore w:val="0"/>
        <w:widowControl w:val="0"/>
        <w:kinsoku/>
        <w:overflowPunct/>
        <w:topLinePunct w:val="0"/>
        <w:autoSpaceDE/>
        <w:autoSpaceDN/>
        <w:bidi w:val="0"/>
        <w:snapToGrid/>
        <w:spacing w:line="600" w:lineRule="exact"/>
        <w:ind w:firstLine="645"/>
        <w:jc w:val="left"/>
        <w:textAlignment w:val="auto"/>
        <w:rPr>
          <w:rFonts w:hint="eastAsia" w:ascii="仿宋" w:hAnsi="仿宋" w:eastAsia="仿宋_GB2312"/>
          <w:bCs/>
          <w:sz w:val="32"/>
          <w:szCs w:val="32"/>
        </w:rPr>
      </w:pPr>
    </w:p>
    <w:p>
      <w:pPr>
        <w:keepNext w:val="0"/>
        <w:keepLines w:val="0"/>
        <w:pageBreakBefore w:val="0"/>
        <w:widowControl w:val="0"/>
        <w:kinsoku/>
        <w:overflowPunct/>
        <w:topLinePunct w:val="0"/>
        <w:autoSpaceDE/>
        <w:autoSpaceDN/>
        <w:bidi w:val="0"/>
        <w:snapToGrid/>
        <w:spacing w:line="600" w:lineRule="exact"/>
        <w:ind w:firstLine="645"/>
        <w:jc w:val="left"/>
        <w:textAlignment w:val="auto"/>
        <w:rPr>
          <w:rFonts w:hint="eastAsia" w:ascii="仿宋" w:hAnsi="仿宋" w:eastAsia="仿宋_GB2312"/>
          <w:bCs/>
          <w:sz w:val="32"/>
          <w:szCs w:val="32"/>
          <w:lang w:val="en-US" w:eastAsia="zh-CN"/>
        </w:rPr>
      </w:pPr>
    </w:p>
    <w:p>
      <w:pPr>
        <w:keepNext w:val="0"/>
        <w:keepLines w:val="0"/>
        <w:pageBreakBefore w:val="0"/>
        <w:widowControl w:val="0"/>
        <w:kinsoku/>
        <w:overflowPunct/>
        <w:topLinePunct w:val="0"/>
        <w:autoSpaceDE/>
        <w:autoSpaceDN/>
        <w:bidi w:val="0"/>
        <w:snapToGrid/>
        <w:spacing w:line="600" w:lineRule="exact"/>
        <w:jc w:val="left"/>
        <w:textAlignment w:val="auto"/>
        <w:rPr>
          <w:rFonts w:hint="eastAsia" w:ascii="仿宋" w:hAnsi="仿宋" w:eastAsia="仿宋_GB2312"/>
          <w:bCs/>
          <w:sz w:val="32"/>
          <w:szCs w:val="32"/>
          <w:lang w:val="en-US" w:eastAsia="zh-CN"/>
        </w:rPr>
      </w:pPr>
    </w:p>
    <w:p>
      <w:pPr>
        <w:keepNext w:val="0"/>
        <w:keepLines w:val="0"/>
        <w:pageBreakBefore w:val="0"/>
        <w:widowControl w:val="0"/>
        <w:kinsoku/>
        <w:wordWrap w:val="0"/>
        <w:overflowPunct/>
        <w:topLinePunct w:val="0"/>
        <w:autoSpaceDE/>
        <w:autoSpaceDN/>
        <w:bidi w:val="0"/>
        <w:snapToGrid/>
        <w:spacing w:line="600" w:lineRule="exact"/>
        <w:ind w:firstLine="645"/>
        <w:jc w:val="right"/>
        <w:textAlignment w:val="auto"/>
        <w:rPr>
          <w:rFonts w:hint="eastAsia" w:ascii="仿宋" w:hAnsi="仿宋" w:eastAsia="仿宋_GB2312"/>
          <w:bCs/>
          <w:sz w:val="32"/>
          <w:szCs w:val="32"/>
          <w:lang w:val="en-US" w:eastAsia="zh-CN"/>
        </w:rPr>
      </w:pPr>
      <w:r>
        <w:rPr>
          <w:rFonts w:hint="eastAsia" w:ascii="仿宋" w:hAnsi="仿宋" w:eastAsia="仿宋_GB2312"/>
          <w:bCs/>
          <w:sz w:val="32"/>
          <w:szCs w:val="32"/>
        </w:rPr>
        <w:t>辽宁省</w:t>
      </w:r>
      <w:r>
        <w:rPr>
          <w:rFonts w:hint="eastAsia" w:ascii="仿宋" w:hAnsi="仿宋" w:eastAsia="仿宋_GB2312"/>
          <w:bCs/>
          <w:sz w:val="32"/>
          <w:szCs w:val="32"/>
          <w:lang w:val="en-US" w:eastAsia="zh-CN"/>
        </w:rPr>
        <w:t>科学技术</w:t>
      </w:r>
      <w:r>
        <w:rPr>
          <w:rFonts w:hint="eastAsia" w:ascii="仿宋" w:hAnsi="仿宋" w:eastAsia="仿宋_GB2312"/>
          <w:bCs/>
          <w:sz w:val="32"/>
          <w:szCs w:val="32"/>
        </w:rPr>
        <w:t xml:space="preserve">厅  </w:t>
      </w:r>
      <w:r>
        <w:rPr>
          <w:rFonts w:hint="eastAsia" w:ascii="仿宋" w:hAnsi="仿宋" w:eastAsia="仿宋_GB2312"/>
          <w:bCs/>
          <w:sz w:val="32"/>
          <w:szCs w:val="32"/>
          <w:lang w:val="en-US" w:eastAsia="zh-CN"/>
        </w:rPr>
        <w:t xml:space="preserve">        </w:t>
      </w:r>
      <w:r>
        <w:rPr>
          <w:rFonts w:hint="eastAsia" w:ascii="仿宋" w:hAnsi="仿宋" w:eastAsia="仿宋_GB2312"/>
          <w:bCs/>
          <w:sz w:val="32"/>
          <w:szCs w:val="32"/>
        </w:rPr>
        <w:t>辽宁省</w:t>
      </w:r>
      <w:r>
        <w:rPr>
          <w:rFonts w:hint="eastAsia" w:ascii="仿宋" w:hAnsi="仿宋" w:eastAsia="仿宋_GB2312"/>
          <w:bCs/>
          <w:sz w:val="32"/>
          <w:szCs w:val="32"/>
          <w:lang w:val="en-US" w:eastAsia="zh-CN"/>
        </w:rPr>
        <w:t>财政</w:t>
      </w:r>
      <w:r>
        <w:rPr>
          <w:rFonts w:hint="eastAsia" w:ascii="仿宋" w:hAnsi="仿宋" w:eastAsia="仿宋_GB2312"/>
          <w:bCs/>
          <w:sz w:val="32"/>
          <w:szCs w:val="32"/>
        </w:rPr>
        <w:t>厅</w:t>
      </w:r>
      <w:r>
        <w:rPr>
          <w:rFonts w:hint="eastAsia" w:ascii="仿宋" w:hAnsi="仿宋" w:eastAsia="仿宋_GB2312"/>
          <w:bCs/>
          <w:sz w:val="32"/>
          <w:szCs w:val="32"/>
          <w:lang w:val="en-US" w:eastAsia="zh-CN"/>
        </w:rPr>
        <w:t xml:space="preserve">     </w:t>
      </w:r>
      <w:r>
        <w:rPr>
          <w:rFonts w:hint="eastAsia" w:ascii="仿宋" w:hAnsi="仿宋" w:eastAsia="仿宋_GB2312"/>
          <w:bCs/>
          <w:sz w:val="32"/>
          <w:szCs w:val="32"/>
        </w:rPr>
        <w:t xml:space="preserve">    </w:t>
      </w:r>
      <w:r>
        <w:rPr>
          <w:rFonts w:hint="eastAsia" w:ascii="仿宋" w:hAnsi="仿宋" w:eastAsia="仿宋_GB2312"/>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600" w:lineRule="exact"/>
        <w:ind w:right="1222" w:rightChars="382"/>
        <w:jc w:val="right"/>
        <w:textAlignment w:val="auto"/>
        <w:rPr>
          <w:rFonts w:hint="eastAsia" w:ascii="仿宋" w:hAnsi="仿宋" w:eastAsia="仿宋_GB2312"/>
          <w:bCs/>
          <w:sz w:val="32"/>
          <w:szCs w:val="32"/>
        </w:rPr>
      </w:pPr>
      <w:r>
        <w:rPr>
          <w:rFonts w:ascii="Times New Roman" w:hAnsi="Times New Roman" w:eastAsia="仿宋_GB2312"/>
          <w:bCs/>
          <w:sz w:val="32"/>
          <w:szCs w:val="32"/>
        </w:rPr>
        <w:t>2022</w:t>
      </w:r>
      <w:r>
        <w:rPr>
          <w:rFonts w:ascii="仿宋" w:hAnsi="仿宋" w:eastAsia="仿宋_GB2312"/>
          <w:bCs/>
          <w:sz w:val="32"/>
          <w:szCs w:val="32"/>
        </w:rPr>
        <w:t>年</w:t>
      </w:r>
      <w:r>
        <w:rPr>
          <w:rFonts w:ascii="Times New Roman" w:hAnsi="Times New Roman" w:eastAsia="仿宋_GB2312"/>
          <w:bCs/>
          <w:sz w:val="32"/>
          <w:szCs w:val="32"/>
        </w:rPr>
        <w:t>5</w:t>
      </w:r>
      <w:r>
        <w:rPr>
          <w:rFonts w:ascii="仿宋" w:hAnsi="仿宋" w:eastAsia="仿宋_GB2312"/>
          <w:bCs/>
          <w:sz w:val="32"/>
          <w:szCs w:val="32"/>
        </w:rPr>
        <w:t>月</w:t>
      </w:r>
      <w:r>
        <w:rPr>
          <w:rFonts w:hint="eastAsia" w:eastAsia="仿宋_GB2312"/>
          <w:bCs/>
          <w:sz w:val="32"/>
          <w:szCs w:val="32"/>
          <w:lang w:val="en-US" w:eastAsia="zh-CN"/>
        </w:rPr>
        <w:t>25</w:t>
      </w:r>
      <w:r>
        <w:rPr>
          <w:rFonts w:ascii="仿宋" w:hAnsi="仿宋" w:eastAsia="仿宋_GB2312"/>
          <w:bCs/>
          <w:sz w:val="32"/>
          <w:szCs w:val="32"/>
        </w:rPr>
        <w:t>日</w:t>
      </w:r>
      <w:r>
        <w:rPr>
          <w:rFonts w:hint="eastAsia" w:ascii="仿宋" w:hAnsi="仿宋" w:eastAsia="仿宋_GB2312"/>
          <w:bCs/>
          <w:sz w:val="32"/>
          <w:szCs w:val="32"/>
        </w:rPr>
        <w:t xml:space="preserve"> </w:t>
      </w:r>
    </w:p>
    <w:p>
      <w:pPr>
        <w:keepNext w:val="0"/>
        <w:keepLines w:val="0"/>
        <w:pageBreakBefore w:val="0"/>
        <w:widowControl w:val="0"/>
        <w:kinsoku/>
        <w:wordWrap/>
        <w:overflowPunct/>
        <w:topLinePunct w:val="0"/>
        <w:autoSpaceDE/>
        <w:autoSpaceDN/>
        <w:bidi w:val="0"/>
        <w:adjustRightInd w:val="0"/>
        <w:snapToGrid/>
        <w:spacing w:line="600" w:lineRule="exact"/>
        <w:jc w:val="left"/>
        <w:textAlignment w:val="auto"/>
        <w:rPr>
          <w:rFonts w:eastAsia="仿宋_GB2312"/>
          <w:sz w:val="21"/>
          <w:szCs w:val="21"/>
        </w:rPr>
      </w:pPr>
      <w:r>
        <w:rPr>
          <w:rFonts w:hint="eastAsia" w:eastAsia="仿宋_GB2312"/>
        </w:rPr>
        <w:t xml:space="preserve">    （此件公开</w:t>
      </w:r>
      <w:r>
        <w:rPr>
          <w:rFonts w:hint="eastAsia" w:eastAsia="仿宋_GB2312"/>
          <w:lang w:val="en-US" w:eastAsia="zh-CN"/>
        </w:rPr>
        <w:t>发布</w:t>
      </w:r>
      <w:r>
        <w:rPr>
          <w:rFonts w:hint="eastAsia" w:eastAsia="仿宋_GB2312"/>
        </w:rPr>
        <w:t>）</w:t>
      </w:r>
    </w:p>
    <w:p>
      <w:pPr>
        <w:rPr>
          <w:rFonts w:eastAsia="仿宋_GB2312"/>
          <w:sz w:val="21"/>
          <w:szCs w:val="21"/>
        </w:rPr>
        <w:sectPr>
          <w:footerReference r:id="rId3" w:type="default"/>
          <w:footerReference r:id="rId4" w:type="even"/>
          <w:pgSz w:w="11906" w:h="16838"/>
          <w:pgMar w:top="2098" w:right="1531" w:bottom="1984" w:left="1531" w:header="851" w:footer="992" w:gutter="0"/>
          <w:pgNumType w:fmt="decimal"/>
          <w:cols w:space="425" w:num="1"/>
          <w:docGrid w:linePitch="435" w:charSpace="0"/>
        </w:sectPr>
      </w:pPr>
      <w:r>
        <w:rPr>
          <w:rFonts w:eastAsia="仿宋_GB2312"/>
          <w:sz w:val="21"/>
          <w:szCs w:val="21"/>
        </w:rPr>
        <w:br w:type="page"/>
      </w:r>
    </w:p>
    <w:p>
      <w:pPr>
        <w:spacing w:line="560" w:lineRule="exact"/>
        <w:jc w:val="center"/>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辽宁省科技计划项目管理办法</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ascii="仿宋" w:hAnsi="仿宋" w:eastAsia="仿宋_GB2312"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仿宋"/>
          <w:b/>
          <w:color w:val="auto"/>
          <w:sz w:val="32"/>
          <w:szCs w:val="32"/>
        </w:rPr>
      </w:pPr>
      <w:r>
        <w:rPr>
          <w:rFonts w:hint="eastAsia" w:ascii="黑体" w:hAnsi="黑体" w:eastAsia="黑体" w:cs="黑体"/>
          <w:bCs/>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第一条</w:t>
      </w:r>
      <w:r>
        <w:rPr>
          <w:rFonts w:hint="eastAsia" w:ascii="仿宋" w:hAnsi="仿宋" w:eastAsia="仿宋_GB2312" w:cs="仿宋"/>
          <w:color w:val="auto"/>
          <w:sz w:val="32"/>
          <w:szCs w:val="32"/>
        </w:rPr>
        <w:t xml:space="preserve"> 为进一步规范和完善辽宁省科技计划项目管理，</w:t>
      </w:r>
      <w:r>
        <w:rPr>
          <w:rFonts w:hint="eastAsia" w:ascii="仿宋" w:hAnsi="仿宋" w:eastAsia="仿宋_GB2312"/>
          <w:color w:val="auto"/>
          <w:sz w:val="32"/>
          <w:szCs w:val="32"/>
        </w:rPr>
        <w:t>提高科技计划项目管理效率，保证科技计划项目管理公平、公开、公正，</w:t>
      </w:r>
      <w:r>
        <w:rPr>
          <w:rFonts w:hint="eastAsia" w:ascii="仿宋" w:hAnsi="仿宋" w:eastAsia="仿宋_GB2312" w:cs="仿宋"/>
          <w:color w:val="auto"/>
          <w:sz w:val="32"/>
          <w:szCs w:val="32"/>
        </w:rPr>
        <w:t>根据国家和省有关规定，结合实际，制定本办法。</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olor w:val="auto"/>
          <w:sz w:val="32"/>
          <w:szCs w:val="32"/>
        </w:rPr>
      </w:pPr>
      <w:r>
        <w:rPr>
          <w:rFonts w:hint="eastAsia" w:ascii="仿宋" w:hAnsi="仿宋" w:eastAsia="仿宋_GB2312" w:cs="仿宋"/>
          <w:b/>
          <w:color w:val="auto"/>
          <w:sz w:val="32"/>
          <w:szCs w:val="32"/>
        </w:rPr>
        <w:t>第二条</w:t>
      </w:r>
      <w:r>
        <w:rPr>
          <w:rFonts w:hint="eastAsia" w:ascii="仿宋" w:hAnsi="仿宋" w:eastAsia="仿宋_GB2312" w:cs="仿宋"/>
          <w:color w:val="auto"/>
          <w:sz w:val="32"/>
          <w:szCs w:val="32"/>
        </w:rPr>
        <w:t xml:space="preserve"> </w:t>
      </w:r>
      <w:r>
        <w:rPr>
          <w:rFonts w:hint="eastAsia" w:ascii="仿宋" w:hAnsi="仿宋" w:eastAsia="仿宋_GB2312"/>
          <w:color w:val="auto"/>
          <w:sz w:val="32"/>
          <w:szCs w:val="32"/>
        </w:rPr>
        <w:t>辽宁省科技计划是组织科学研究和技术开发的重要手段，是引导科技创新、推动科技进步的重要举措。辽宁省科学技术厅（以下简称省科技厅）是辽宁省科技计划的主管部门，负责全省科技计划组织实施</w:t>
      </w:r>
      <w:r>
        <w:rPr>
          <w:rFonts w:hint="eastAsia" w:ascii="仿宋" w:hAnsi="仿宋" w:eastAsia="仿宋_GB2312"/>
          <w:color w:val="auto"/>
          <w:sz w:val="32"/>
          <w:szCs w:val="32"/>
          <w:lang w:eastAsia="zh-CN"/>
        </w:rPr>
        <w:t>、</w:t>
      </w:r>
      <w:r>
        <w:rPr>
          <w:rFonts w:hint="eastAsia" w:ascii="仿宋" w:hAnsi="仿宋" w:eastAsia="仿宋_GB2312"/>
          <w:color w:val="auto"/>
          <w:sz w:val="32"/>
          <w:szCs w:val="32"/>
        </w:rPr>
        <w:t>项目管理</w:t>
      </w:r>
      <w:r>
        <w:rPr>
          <w:rFonts w:hint="eastAsia" w:ascii="仿宋" w:hAnsi="仿宋" w:eastAsia="仿宋_GB2312"/>
          <w:color w:val="auto"/>
          <w:sz w:val="32"/>
          <w:szCs w:val="32"/>
          <w:lang w:val="en-US" w:eastAsia="zh-CN"/>
        </w:rPr>
        <w:t>和绩效管理</w:t>
      </w:r>
      <w:r>
        <w:rPr>
          <w:rFonts w:hint="eastAsia" w:ascii="仿宋" w:hAnsi="仿宋" w:eastAsia="仿宋_GB2312"/>
          <w:color w:val="auto"/>
          <w:sz w:val="32"/>
          <w:szCs w:val="32"/>
        </w:rPr>
        <w:t>。辽宁省财政厅（以下简称省财政厅）是科技专项资金的</w:t>
      </w:r>
      <w:r>
        <w:rPr>
          <w:rFonts w:hint="eastAsia" w:ascii="仿宋" w:hAnsi="仿宋" w:eastAsia="仿宋_GB2312"/>
          <w:color w:val="auto"/>
          <w:sz w:val="32"/>
          <w:szCs w:val="32"/>
          <w:lang w:val="en-US" w:eastAsia="zh-CN"/>
        </w:rPr>
        <w:t>预算</w:t>
      </w:r>
      <w:r>
        <w:rPr>
          <w:rFonts w:hint="eastAsia" w:ascii="仿宋" w:hAnsi="仿宋" w:eastAsia="仿宋_GB2312"/>
          <w:color w:val="auto"/>
          <w:sz w:val="32"/>
          <w:szCs w:val="32"/>
        </w:rPr>
        <w:t>主管部门，负责安排</w:t>
      </w:r>
      <w:r>
        <w:rPr>
          <w:rFonts w:ascii="仿宋" w:hAnsi="仿宋" w:eastAsia="仿宋_GB2312"/>
          <w:color w:val="auto"/>
          <w:sz w:val="32"/>
          <w:szCs w:val="32"/>
        </w:rPr>
        <w:t>年度</w:t>
      </w:r>
      <w:r>
        <w:rPr>
          <w:rFonts w:hint="eastAsia" w:ascii="仿宋" w:hAnsi="仿宋" w:eastAsia="仿宋_GB2312"/>
          <w:color w:val="auto"/>
          <w:sz w:val="32"/>
          <w:szCs w:val="32"/>
        </w:rPr>
        <w:t>资金</w:t>
      </w:r>
      <w:r>
        <w:rPr>
          <w:rFonts w:ascii="仿宋" w:hAnsi="仿宋" w:eastAsia="仿宋_GB2312"/>
          <w:color w:val="auto"/>
          <w:sz w:val="32"/>
          <w:szCs w:val="32"/>
        </w:rPr>
        <w:t>预算、</w:t>
      </w:r>
      <w:r>
        <w:rPr>
          <w:rFonts w:hint="eastAsia" w:ascii="仿宋" w:hAnsi="仿宋" w:eastAsia="仿宋_GB2312"/>
          <w:color w:val="auto"/>
          <w:sz w:val="32"/>
          <w:szCs w:val="32"/>
        </w:rPr>
        <w:t>审核</w:t>
      </w:r>
      <w:r>
        <w:rPr>
          <w:rFonts w:ascii="仿宋" w:hAnsi="仿宋" w:eastAsia="仿宋_GB2312"/>
          <w:color w:val="auto"/>
          <w:sz w:val="32"/>
          <w:szCs w:val="32"/>
        </w:rPr>
        <w:t>资金分配方案、</w:t>
      </w:r>
      <w:r>
        <w:rPr>
          <w:rFonts w:hint="eastAsia" w:ascii="仿宋" w:hAnsi="仿宋" w:eastAsia="仿宋_GB2312"/>
          <w:color w:val="auto"/>
          <w:sz w:val="32"/>
          <w:szCs w:val="32"/>
          <w:lang w:val="en-US" w:eastAsia="zh-CN"/>
        </w:rPr>
        <w:t>下达并</w:t>
      </w:r>
      <w:r>
        <w:rPr>
          <w:rFonts w:hint="eastAsia" w:ascii="仿宋" w:hAnsi="仿宋" w:eastAsia="仿宋_GB2312"/>
          <w:color w:val="auto"/>
          <w:sz w:val="32"/>
          <w:szCs w:val="32"/>
        </w:rPr>
        <w:t>拨付项目</w:t>
      </w:r>
      <w:r>
        <w:rPr>
          <w:rFonts w:ascii="仿宋" w:hAnsi="仿宋" w:eastAsia="仿宋_GB2312"/>
          <w:color w:val="auto"/>
          <w:sz w:val="32"/>
          <w:szCs w:val="32"/>
        </w:rPr>
        <w:t>资金</w:t>
      </w:r>
      <w:r>
        <w:rPr>
          <w:rFonts w:hint="eastAsia" w:ascii="仿宋" w:hAnsi="仿宋" w:eastAsia="仿宋_GB2312"/>
          <w:color w:val="auto"/>
          <w:sz w:val="32"/>
          <w:szCs w:val="32"/>
        </w:rPr>
        <w:t>、</w:t>
      </w:r>
      <w:r>
        <w:rPr>
          <w:rFonts w:ascii="仿宋" w:hAnsi="仿宋" w:eastAsia="仿宋_GB2312"/>
          <w:color w:val="auto"/>
          <w:sz w:val="32"/>
          <w:szCs w:val="32"/>
        </w:rPr>
        <w:t>监管</w:t>
      </w:r>
      <w:r>
        <w:rPr>
          <w:rFonts w:hint="eastAsia" w:ascii="仿宋" w:hAnsi="仿宋" w:eastAsia="仿宋_GB2312"/>
          <w:color w:val="auto"/>
          <w:sz w:val="32"/>
          <w:szCs w:val="32"/>
        </w:rPr>
        <w:t>资金</w:t>
      </w:r>
      <w:r>
        <w:rPr>
          <w:rFonts w:ascii="仿宋" w:hAnsi="仿宋" w:eastAsia="仿宋_GB2312"/>
          <w:color w:val="auto"/>
          <w:sz w:val="32"/>
          <w:szCs w:val="32"/>
        </w:rPr>
        <w:t>使用</w:t>
      </w:r>
      <w:r>
        <w:rPr>
          <w:rFonts w:hint="eastAsia" w:ascii="仿宋" w:hAnsi="仿宋" w:eastAsia="仿宋_GB2312"/>
          <w:color w:val="auto"/>
          <w:sz w:val="32"/>
          <w:szCs w:val="32"/>
        </w:rPr>
        <w:t>、</w:t>
      </w:r>
      <w:r>
        <w:rPr>
          <w:rFonts w:hint="eastAsia" w:ascii="仿宋" w:hAnsi="仿宋" w:eastAsia="仿宋_GB2312"/>
          <w:color w:val="auto"/>
          <w:sz w:val="32"/>
          <w:szCs w:val="32"/>
          <w:lang w:val="en-US" w:eastAsia="zh-CN"/>
        </w:rPr>
        <w:t>组织</w:t>
      </w:r>
      <w:r>
        <w:rPr>
          <w:rFonts w:hint="eastAsia" w:ascii="仿宋" w:hAnsi="仿宋" w:eastAsia="仿宋_GB2312"/>
          <w:color w:val="auto"/>
          <w:sz w:val="32"/>
          <w:szCs w:val="32"/>
        </w:rPr>
        <w:t>开展绩效</w:t>
      </w:r>
      <w:r>
        <w:rPr>
          <w:rFonts w:hint="eastAsia" w:ascii="仿宋" w:hAnsi="仿宋" w:eastAsia="仿宋_GB2312"/>
          <w:color w:val="auto"/>
          <w:sz w:val="32"/>
          <w:szCs w:val="32"/>
          <w:lang w:val="en-US" w:eastAsia="zh-CN"/>
        </w:rPr>
        <w:t>管理</w:t>
      </w:r>
      <w:r>
        <w:rPr>
          <w:rFonts w:hint="eastAsia" w:ascii="仿宋"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olor w:val="auto"/>
          <w:sz w:val="32"/>
          <w:szCs w:val="32"/>
        </w:rPr>
      </w:pPr>
      <w:r>
        <w:rPr>
          <w:rFonts w:hint="eastAsia" w:ascii="仿宋" w:hAnsi="仿宋" w:eastAsia="仿宋_GB2312"/>
          <w:b/>
          <w:color w:val="auto"/>
          <w:sz w:val="32"/>
          <w:szCs w:val="32"/>
        </w:rPr>
        <w:t>第三条</w:t>
      </w:r>
      <w:r>
        <w:rPr>
          <w:rFonts w:hint="eastAsia" w:ascii="仿宋" w:hAnsi="仿宋" w:eastAsia="仿宋_GB2312"/>
          <w:color w:val="auto"/>
          <w:sz w:val="32"/>
          <w:szCs w:val="32"/>
        </w:rPr>
        <w:t xml:space="preserve"> 辽宁省科技计划项目是辽宁省科技计划的实施载体。项目实施</w:t>
      </w:r>
      <w:r>
        <w:rPr>
          <w:rFonts w:hint="eastAsia" w:ascii="仿宋" w:hAnsi="仿宋" w:eastAsia="仿宋_GB2312"/>
          <w:color w:val="auto"/>
          <w:sz w:val="32"/>
          <w:szCs w:val="32"/>
          <w:lang w:val="en-US" w:eastAsia="zh-CN"/>
        </w:rPr>
        <w:t>采取</w:t>
      </w:r>
      <w:r>
        <w:rPr>
          <w:rFonts w:hint="eastAsia" w:ascii="仿宋" w:hAnsi="仿宋" w:eastAsia="仿宋_GB2312"/>
          <w:color w:val="auto"/>
          <w:sz w:val="32"/>
          <w:szCs w:val="32"/>
        </w:rPr>
        <w:t>财政</w:t>
      </w:r>
      <w:r>
        <w:rPr>
          <w:rFonts w:hint="eastAsia" w:ascii="仿宋" w:hAnsi="仿宋" w:eastAsia="仿宋_GB2312"/>
          <w:color w:val="auto"/>
          <w:sz w:val="32"/>
          <w:szCs w:val="32"/>
          <w:lang w:val="en-US" w:eastAsia="zh-CN"/>
        </w:rPr>
        <w:t>资金为引导，</w:t>
      </w:r>
      <w:r>
        <w:rPr>
          <w:rFonts w:hint="eastAsia" w:ascii="仿宋" w:hAnsi="仿宋" w:eastAsia="仿宋_GB2312"/>
          <w:color w:val="auto"/>
          <w:sz w:val="32"/>
          <w:szCs w:val="32"/>
        </w:rPr>
        <w:t>单位自筹</w:t>
      </w:r>
      <w:r>
        <w:rPr>
          <w:rFonts w:hint="eastAsia" w:ascii="仿宋" w:hAnsi="仿宋" w:eastAsia="仿宋_GB2312"/>
          <w:color w:val="auto"/>
          <w:sz w:val="32"/>
          <w:szCs w:val="32"/>
          <w:lang w:val="en-US" w:eastAsia="zh-CN"/>
        </w:rPr>
        <w:t>资金以及其他资金为主导的多元化经费投入方式</w:t>
      </w:r>
      <w:r>
        <w:rPr>
          <w:rFonts w:hint="eastAsia" w:ascii="仿宋" w:hAnsi="仿宋" w:eastAsia="仿宋_GB2312"/>
          <w:color w:val="auto"/>
          <w:sz w:val="32"/>
          <w:szCs w:val="32"/>
        </w:rPr>
        <w:t>。资金的用途主要包括开展研发活动、创新能力提升、产学研用合作、人才培养、创新服务体系建设</w:t>
      </w:r>
      <w:r>
        <w:rPr>
          <w:rFonts w:hint="eastAsia" w:ascii="仿宋" w:hAnsi="仿宋" w:eastAsia="仿宋_GB2312" w:cs="仿宋"/>
          <w:color w:val="auto"/>
          <w:sz w:val="32"/>
          <w:szCs w:val="32"/>
        </w:rPr>
        <w:t>以及其他与科技创新相关的活动</w:t>
      </w:r>
      <w:r>
        <w:rPr>
          <w:rFonts w:hint="eastAsia" w:ascii="仿宋"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第四条</w:t>
      </w:r>
      <w:r>
        <w:rPr>
          <w:rFonts w:hint="eastAsia" w:ascii="仿宋" w:hAnsi="仿宋" w:eastAsia="仿宋_GB2312" w:cs="仿宋"/>
          <w:color w:val="auto"/>
          <w:sz w:val="32"/>
          <w:szCs w:val="32"/>
        </w:rPr>
        <w:t xml:space="preserve"> 项目管理遵循统筹兼顾、重点突出、权责清晰、程序规范、监督有力、绩效导向原则。</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ascii="仿宋" w:hAnsi="仿宋" w:eastAsia="仿宋_GB2312" w:cs="仿宋"/>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仿宋"/>
          <w:color w:val="auto"/>
          <w:sz w:val="32"/>
          <w:szCs w:val="32"/>
        </w:rPr>
      </w:pPr>
      <w:r>
        <w:rPr>
          <w:rFonts w:hint="eastAsia" w:ascii="黑体" w:hAnsi="黑体" w:eastAsia="黑体" w:cs="黑体"/>
          <w:bCs/>
          <w:color w:val="auto"/>
          <w:sz w:val="32"/>
          <w:szCs w:val="32"/>
        </w:rPr>
        <w:t>第二章  项目申报</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第五条</w:t>
      </w:r>
      <w:r>
        <w:rPr>
          <w:rFonts w:hint="eastAsia" w:ascii="仿宋" w:hAnsi="仿宋" w:eastAsia="仿宋_GB2312" w:cs="仿宋"/>
          <w:color w:val="auto"/>
          <w:sz w:val="32"/>
          <w:szCs w:val="32"/>
        </w:rPr>
        <w:t xml:space="preserve"> 项目一般采用公开竞争的方式择优遴选承担单位。为落实省委省政府重大决策部署、应对紧急科技需求等，在明确相关条件基础上，可采取定向择优或定向委托等方式确定承担单位。</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bCs/>
          <w:color w:val="auto"/>
          <w:sz w:val="32"/>
          <w:szCs w:val="32"/>
        </w:rPr>
        <w:t>第六条</w:t>
      </w:r>
      <w:r>
        <w:rPr>
          <w:rFonts w:ascii="仿宋" w:hAnsi="仿宋" w:eastAsia="仿宋_GB2312" w:cs="仿宋"/>
          <w:color w:val="auto"/>
          <w:sz w:val="32"/>
          <w:szCs w:val="32"/>
        </w:rPr>
        <w:t xml:space="preserve"> </w:t>
      </w:r>
      <w:r>
        <w:rPr>
          <w:rFonts w:hint="eastAsia" w:ascii="仿宋" w:hAnsi="仿宋" w:eastAsia="仿宋_GB2312" w:cs="仿宋"/>
          <w:color w:val="auto"/>
          <w:sz w:val="32"/>
          <w:szCs w:val="32"/>
        </w:rPr>
        <w:t>省科技厅定期面向社会征集项目申报指南方向，组织编制并发布各类计划项目年度申报指南。定向择优或定向委托的</w:t>
      </w:r>
      <w:r>
        <w:rPr>
          <w:rFonts w:ascii="仿宋" w:hAnsi="仿宋" w:eastAsia="仿宋_GB2312" w:cs="仿宋"/>
          <w:color w:val="auto"/>
          <w:sz w:val="32"/>
          <w:szCs w:val="32"/>
        </w:rPr>
        <w:t>项目</w:t>
      </w:r>
      <w:r>
        <w:rPr>
          <w:rFonts w:hint="eastAsia" w:ascii="仿宋" w:hAnsi="仿宋" w:eastAsia="仿宋_GB2312" w:cs="仿宋"/>
          <w:color w:val="auto"/>
          <w:sz w:val="32"/>
          <w:szCs w:val="32"/>
        </w:rPr>
        <w:t>可单独下达专题指南，组织快速立项。</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bCs/>
          <w:color w:val="auto"/>
          <w:sz w:val="32"/>
          <w:szCs w:val="32"/>
        </w:rPr>
      </w:pPr>
      <w:r>
        <w:rPr>
          <w:rFonts w:hint="eastAsia" w:ascii="仿宋" w:hAnsi="仿宋" w:eastAsia="仿宋_GB2312" w:cs="仿宋"/>
          <w:b/>
          <w:color w:val="auto"/>
          <w:sz w:val="32"/>
          <w:szCs w:val="32"/>
        </w:rPr>
        <w:t xml:space="preserve">第七条 </w:t>
      </w:r>
      <w:r>
        <w:rPr>
          <w:rFonts w:hint="eastAsia" w:ascii="仿宋" w:hAnsi="仿宋" w:eastAsia="仿宋_GB2312" w:cs="仿宋"/>
          <w:color w:val="auto"/>
          <w:sz w:val="32"/>
          <w:szCs w:val="32"/>
        </w:rPr>
        <w:t>项目申报单位应当是</w:t>
      </w:r>
      <w:r>
        <w:rPr>
          <w:rFonts w:hint="eastAsia" w:ascii="仿宋" w:hAnsi="仿宋" w:eastAsia="仿宋_GB2312" w:cs="仿宋"/>
          <w:bCs/>
          <w:color w:val="auto"/>
          <w:sz w:val="32"/>
          <w:szCs w:val="32"/>
        </w:rPr>
        <w:t>在辽宁境内注册的独立法人单位</w:t>
      </w:r>
      <w:r>
        <w:rPr>
          <w:rFonts w:hint="eastAsia" w:ascii="仿宋" w:hAnsi="仿宋" w:eastAsia="仿宋_GB2312" w:cs="仿宋"/>
          <w:color w:val="auto"/>
          <w:sz w:val="32"/>
          <w:szCs w:val="32"/>
        </w:rPr>
        <w:t>，</w:t>
      </w:r>
      <w:r>
        <w:rPr>
          <w:rFonts w:hint="eastAsia" w:ascii="仿宋" w:hAnsi="仿宋" w:eastAsia="仿宋_GB2312" w:cs="仿宋"/>
          <w:bCs/>
          <w:color w:val="auto"/>
          <w:sz w:val="32"/>
          <w:szCs w:val="32"/>
        </w:rPr>
        <w:t>包括但不限于高等学校、科研院所、企业、事业单位及新型研发机构。</w:t>
      </w:r>
      <w:r>
        <w:rPr>
          <w:rFonts w:hint="eastAsia" w:ascii="仿宋" w:hAnsi="仿宋" w:eastAsia="仿宋_GB2312" w:cs="仿宋"/>
          <w:color w:val="auto"/>
          <w:sz w:val="32"/>
          <w:szCs w:val="32"/>
        </w:rPr>
        <w:t>申报项目</w:t>
      </w:r>
      <w:r>
        <w:rPr>
          <w:rFonts w:hint="eastAsia" w:ascii="仿宋" w:hAnsi="仿宋" w:eastAsia="仿宋_GB2312" w:cs="仿宋"/>
          <w:bCs/>
          <w:color w:val="auto"/>
          <w:sz w:val="32"/>
          <w:szCs w:val="32"/>
        </w:rPr>
        <w:t>须</w:t>
      </w:r>
      <w:r>
        <w:rPr>
          <w:rFonts w:hint="eastAsia" w:ascii="仿宋" w:hAnsi="仿宋" w:eastAsia="仿宋_GB2312" w:cs="仿宋"/>
          <w:color w:val="auto"/>
          <w:sz w:val="32"/>
          <w:szCs w:val="32"/>
        </w:rPr>
        <w:t>明确项目负责人，项目负责人应具有领导和组织开展创新性研究的能力，确保足够时间投入项目研究。项目申报单位和项目负责人应符合申报指南要求以及科研诚信管理要求。</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第八条</w:t>
      </w:r>
      <w:r>
        <w:rPr>
          <w:rFonts w:hint="eastAsia" w:ascii="仿宋" w:hAnsi="仿宋" w:eastAsia="仿宋_GB2312" w:cs="仿宋"/>
          <w:bCs/>
          <w:color w:val="auto"/>
          <w:sz w:val="32"/>
          <w:szCs w:val="32"/>
        </w:rPr>
        <w:t xml:space="preserve"> 项目负责人有在研省级科技计划项目的</w:t>
      </w:r>
      <w:r>
        <w:rPr>
          <w:rFonts w:ascii="仿宋" w:hAnsi="仿宋" w:eastAsia="仿宋_GB2312" w:cs="仿宋"/>
          <w:bCs/>
          <w:color w:val="auto"/>
          <w:sz w:val="32"/>
          <w:szCs w:val="32"/>
        </w:rPr>
        <w:t>，原则上不得再作为项目负责人申报新项目。</w:t>
      </w:r>
      <w:r>
        <w:rPr>
          <w:rFonts w:hint="eastAsia" w:ascii="仿宋" w:hAnsi="仿宋" w:eastAsia="仿宋_GB2312" w:cs="仿宋"/>
          <w:bCs/>
          <w:color w:val="auto"/>
          <w:sz w:val="32"/>
          <w:szCs w:val="32"/>
        </w:rPr>
        <w:t>承担</w:t>
      </w:r>
      <w:r>
        <w:rPr>
          <w:rFonts w:hint="eastAsia" w:ascii="仿宋" w:hAnsi="仿宋" w:eastAsia="仿宋_GB2312" w:cs="仿宋"/>
          <w:color w:val="auto"/>
          <w:sz w:val="32"/>
          <w:szCs w:val="32"/>
        </w:rPr>
        <w:t>应急攻关、重大战略研究、</w:t>
      </w:r>
      <w:r>
        <w:rPr>
          <w:rFonts w:ascii="仿宋" w:hAnsi="仿宋" w:eastAsia="仿宋_GB2312" w:cs="仿宋"/>
          <w:color w:val="auto"/>
          <w:sz w:val="32"/>
          <w:szCs w:val="32"/>
        </w:rPr>
        <w:t>公益服务</w:t>
      </w:r>
      <w:r>
        <w:rPr>
          <w:rFonts w:hint="eastAsia" w:ascii="仿宋" w:hAnsi="仿宋" w:eastAsia="仿宋_GB2312" w:cs="仿宋"/>
          <w:color w:val="auto"/>
          <w:sz w:val="32"/>
          <w:szCs w:val="32"/>
        </w:rPr>
        <w:t>等计划项目的</w:t>
      </w:r>
      <w:r>
        <w:rPr>
          <w:rFonts w:ascii="仿宋" w:hAnsi="仿宋" w:eastAsia="仿宋_GB2312" w:cs="仿宋"/>
          <w:bCs/>
          <w:color w:val="auto"/>
          <w:sz w:val="32"/>
          <w:szCs w:val="32"/>
        </w:rPr>
        <w:t>项目</w:t>
      </w:r>
      <w:r>
        <w:rPr>
          <w:rFonts w:hint="eastAsia" w:ascii="仿宋" w:hAnsi="仿宋" w:eastAsia="仿宋_GB2312" w:cs="仿宋"/>
          <w:color w:val="auto"/>
          <w:sz w:val="32"/>
          <w:szCs w:val="32"/>
        </w:rPr>
        <w:t>负责人，可适当放宽条件。具体申报条件在申报指南中予以明确。</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第九条</w:t>
      </w:r>
      <w:r>
        <w:rPr>
          <w:rFonts w:hint="eastAsia" w:ascii="仿宋" w:hAnsi="仿宋" w:eastAsia="仿宋_GB2312" w:cs="仿宋"/>
          <w:color w:val="auto"/>
          <w:sz w:val="32"/>
          <w:szCs w:val="32"/>
        </w:rPr>
        <w:t xml:space="preserve"> 项目申报单位通过“辽宁省科技创新综合信息平台”申报项目，</w:t>
      </w:r>
      <w:r>
        <w:rPr>
          <w:rFonts w:ascii="仿宋" w:hAnsi="仿宋" w:eastAsia="仿宋_GB2312" w:cs="仿宋"/>
          <w:color w:val="auto"/>
          <w:sz w:val="32"/>
          <w:szCs w:val="32"/>
        </w:rPr>
        <w:t>经</w:t>
      </w:r>
      <w:r>
        <w:rPr>
          <w:rFonts w:hint="eastAsia" w:ascii="仿宋" w:hAnsi="仿宋" w:eastAsia="仿宋_GB2312" w:cs="仿宋"/>
          <w:color w:val="auto"/>
          <w:sz w:val="32"/>
          <w:szCs w:val="32"/>
        </w:rPr>
        <w:t>项目</w:t>
      </w:r>
      <w:r>
        <w:rPr>
          <w:rFonts w:ascii="仿宋" w:hAnsi="仿宋" w:eastAsia="仿宋_GB2312" w:cs="仿宋"/>
          <w:color w:val="auto"/>
          <w:sz w:val="32"/>
          <w:szCs w:val="32"/>
        </w:rPr>
        <w:t>初审推荐单位推荐上报后方可受理</w:t>
      </w:r>
      <w:r>
        <w:rPr>
          <w:rFonts w:hint="eastAsia" w:ascii="仿宋" w:hAnsi="仿宋" w:eastAsia="仿宋_GB2312"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第十条</w:t>
      </w:r>
      <w:r>
        <w:rPr>
          <w:rFonts w:hint="eastAsia" w:ascii="仿宋" w:hAnsi="仿宋" w:eastAsia="仿宋_GB2312" w:cs="仿宋"/>
          <w:color w:val="auto"/>
          <w:sz w:val="32"/>
          <w:szCs w:val="32"/>
        </w:rPr>
        <w:t xml:space="preserve"> 项目初审推荐单位指各市及沈抚示范区科技管理部门、中省直有关单位、省属以上高等学校、科研院所以及经省科技厅核准具有初审推荐权限的单位。项目初审推荐单位指导本系统、本地区项目申报单位和项目申报人填报项目申报材料，根据指南要求开展项目初审，并择优推荐符合条件的项目申请立项。省科技厅按照项目管理渠道归口受理申请材料，开展项目</w:t>
      </w:r>
      <w:r>
        <w:rPr>
          <w:rFonts w:ascii="仿宋" w:hAnsi="仿宋" w:eastAsia="仿宋_GB2312" w:cs="仿宋"/>
          <w:color w:val="auto"/>
          <w:sz w:val="32"/>
          <w:szCs w:val="32"/>
        </w:rPr>
        <w:t>复审。</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ascii="仿宋" w:hAnsi="仿宋" w:eastAsia="仿宋_GB2312"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仿宋"/>
          <w:b/>
          <w:color w:val="auto"/>
          <w:sz w:val="32"/>
          <w:szCs w:val="32"/>
        </w:rPr>
      </w:pPr>
      <w:r>
        <w:rPr>
          <w:rFonts w:hint="eastAsia" w:ascii="黑体" w:hAnsi="黑体" w:eastAsia="黑体" w:cs="黑体"/>
          <w:bCs/>
          <w:color w:val="auto"/>
          <w:sz w:val="32"/>
          <w:szCs w:val="32"/>
        </w:rPr>
        <w:t>第三章  评审立项</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 xml:space="preserve">第十一条 </w:t>
      </w:r>
      <w:r>
        <w:rPr>
          <w:rFonts w:hint="eastAsia" w:ascii="仿宋" w:hAnsi="仿宋" w:eastAsia="仿宋_GB2312" w:cs="仿宋"/>
          <w:color w:val="auto"/>
          <w:sz w:val="32"/>
          <w:szCs w:val="32"/>
        </w:rPr>
        <w:t>通过</w:t>
      </w:r>
      <w:r>
        <w:rPr>
          <w:rFonts w:ascii="仿宋" w:hAnsi="仿宋" w:eastAsia="仿宋_GB2312" w:cs="仿宋"/>
          <w:color w:val="auto"/>
          <w:sz w:val="32"/>
          <w:szCs w:val="32"/>
        </w:rPr>
        <w:t>复审的项目进入评审</w:t>
      </w:r>
      <w:r>
        <w:rPr>
          <w:rFonts w:hint="eastAsia" w:ascii="仿宋" w:hAnsi="仿宋" w:eastAsia="仿宋_GB2312" w:cs="仿宋"/>
          <w:color w:val="auto"/>
          <w:sz w:val="32"/>
          <w:szCs w:val="32"/>
        </w:rPr>
        <w:t>程序</w:t>
      </w:r>
      <w:r>
        <w:rPr>
          <w:rFonts w:ascii="仿宋" w:hAnsi="仿宋" w:eastAsia="仿宋_GB2312" w:cs="仿宋"/>
          <w:color w:val="auto"/>
          <w:sz w:val="32"/>
          <w:szCs w:val="32"/>
        </w:rPr>
        <w:t>。</w:t>
      </w:r>
      <w:r>
        <w:rPr>
          <w:rFonts w:hint="eastAsia" w:ascii="仿宋" w:hAnsi="仿宋" w:eastAsia="仿宋_GB2312" w:cs="仿宋"/>
          <w:color w:val="auto"/>
          <w:sz w:val="32"/>
          <w:szCs w:val="32"/>
        </w:rPr>
        <w:t>省科技厅或委托第三方机构，组织专家采取网络评审、会议评审、专家论证、综合评审等方式进行项目评审。专家评审意见是项目立项决策的重要参考。</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bCs/>
          <w:color w:val="auto"/>
          <w:sz w:val="32"/>
          <w:szCs w:val="32"/>
        </w:rPr>
        <w:t>第十二条</w:t>
      </w:r>
      <w:r>
        <w:rPr>
          <w:rFonts w:ascii="仿宋" w:hAnsi="仿宋" w:eastAsia="仿宋_GB2312" w:cs="仿宋"/>
          <w:b/>
          <w:bCs/>
          <w:color w:val="auto"/>
          <w:sz w:val="32"/>
          <w:szCs w:val="32"/>
        </w:rPr>
        <w:t xml:space="preserve"> </w:t>
      </w:r>
      <w:r>
        <w:rPr>
          <w:rFonts w:hint="eastAsia" w:ascii="仿宋" w:hAnsi="仿宋" w:eastAsia="仿宋_GB2312" w:cs="仿宋"/>
          <w:color w:val="auto"/>
          <w:sz w:val="32"/>
          <w:szCs w:val="32"/>
        </w:rPr>
        <w:t>省科技厅参考专家评审意见，结合省委省政府中心工作和区域、行业、重点领域发展技术需求等开展综合评定，</w:t>
      </w:r>
      <w:r>
        <w:rPr>
          <w:rFonts w:hint="eastAsia" w:ascii="仿宋" w:hAnsi="仿宋" w:eastAsia="仿宋_GB2312" w:cs="仿宋"/>
          <w:color w:val="auto"/>
          <w:sz w:val="32"/>
          <w:szCs w:val="32"/>
          <w:lang w:val="en-US" w:eastAsia="zh-CN"/>
        </w:rPr>
        <w:t>征求省财政厅意见后，</w:t>
      </w:r>
      <w:r>
        <w:rPr>
          <w:rFonts w:hint="eastAsia" w:ascii="仿宋" w:hAnsi="仿宋" w:eastAsia="仿宋_GB2312" w:cs="仿宋"/>
          <w:color w:val="auto"/>
          <w:sz w:val="32"/>
          <w:szCs w:val="32"/>
        </w:rPr>
        <w:t>确定拟立项项目。</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 xml:space="preserve">第十三条 </w:t>
      </w:r>
      <w:r>
        <w:rPr>
          <w:rFonts w:hint="eastAsia" w:ascii="仿宋" w:hAnsi="仿宋" w:eastAsia="仿宋_GB2312" w:cs="仿宋"/>
          <w:color w:val="auto"/>
          <w:sz w:val="32"/>
          <w:szCs w:val="32"/>
        </w:rPr>
        <w:t>除涉密及法律法规另有规定外，省科技厅通过官方网站等渠道公示拟立项项目。公示期间有异议的项目，省科技厅组织复议</w:t>
      </w:r>
      <w:r>
        <w:rPr>
          <w:rFonts w:ascii="仿宋" w:hAnsi="仿宋" w:eastAsia="仿宋_GB2312" w:cs="仿宋"/>
          <w:color w:val="auto"/>
          <w:sz w:val="32"/>
          <w:szCs w:val="32"/>
        </w:rPr>
        <w:t>并</w:t>
      </w:r>
      <w:r>
        <w:rPr>
          <w:rFonts w:hint="eastAsia" w:ascii="仿宋" w:hAnsi="仿宋" w:eastAsia="仿宋_GB2312" w:cs="仿宋"/>
          <w:color w:val="auto"/>
          <w:sz w:val="32"/>
          <w:szCs w:val="32"/>
        </w:rPr>
        <w:t>将</w:t>
      </w:r>
      <w:r>
        <w:rPr>
          <w:rFonts w:ascii="仿宋" w:hAnsi="仿宋" w:eastAsia="仿宋_GB2312" w:cs="仿宋"/>
          <w:color w:val="auto"/>
          <w:sz w:val="32"/>
          <w:szCs w:val="32"/>
        </w:rPr>
        <w:t>结果</w:t>
      </w:r>
      <w:r>
        <w:rPr>
          <w:rFonts w:hint="eastAsia" w:ascii="仿宋" w:hAnsi="仿宋" w:eastAsia="仿宋_GB2312" w:cs="仿宋"/>
          <w:color w:val="auto"/>
          <w:sz w:val="32"/>
          <w:szCs w:val="32"/>
        </w:rPr>
        <w:t>反馈项目初审推荐</w:t>
      </w:r>
      <w:r>
        <w:rPr>
          <w:rFonts w:ascii="仿宋" w:hAnsi="仿宋" w:eastAsia="仿宋_GB2312" w:cs="仿宋"/>
          <w:color w:val="auto"/>
          <w:sz w:val="32"/>
          <w:szCs w:val="32"/>
        </w:rPr>
        <w:t>单位</w:t>
      </w:r>
      <w:r>
        <w:rPr>
          <w:rFonts w:hint="eastAsia" w:ascii="仿宋" w:hAnsi="仿宋" w:eastAsia="仿宋_GB2312" w:cs="仿宋"/>
          <w:color w:val="auto"/>
          <w:sz w:val="32"/>
          <w:szCs w:val="32"/>
        </w:rPr>
        <w:t>、项目承担单位和异议提出人。根据公示和复议结果，确定立项结论。</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hint="eastAsia" w:ascii="仿宋" w:hAnsi="仿宋" w:eastAsia="仿宋_GB2312"/>
          <w:color w:val="auto"/>
          <w:sz w:val="32"/>
          <w:szCs w:val="32"/>
          <w:lang w:val="en-US" w:eastAsia="zh-CN"/>
        </w:rPr>
      </w:pPr>
      <w:r>
        <w:rPr>
          <w:rFonts w:hint="eastAsia" w:ascii="仿宋" w:hAnsi="仿宋" w:eastAsia="仿宋_GB2312" w:cs="仿宋"/>
          <w:b/>
          <w:color w:val="auto"/>
          <w:sz w:val="32"/>
          <w:szCs w:val="32"/>
        </w:rPr>
        <w:t xml:space="preserve">第十四条 </w:t>
      </w:r>
      <w:r>
        <w:rPr>
          <w:rFonts w:ascii="仿宋" w:hAnsi="仿宋" w:eastAsia="仿宋_GB2312"/>
          <w:color w:val="auto"/>
          <w:sz w:val="32"/>
          <w:szCs w:val="32"/>
        </w:rPr>
        <w:t>省科技厅提出项目资金分配方案</w:t>
      </w:r>
      <w:r>
        <w:rPr>
          <w:rFonts w:hint="eastAsia" w:ascii="仿宋" w:hAnsi="仿宋" w:eastAsia="仿宋_GB2312"/>
          <w:color w:val="auto"/>
          <w:sz w:val="32"/>
          <w:szCs w:val="32"/>
          <w:lang w:val="en-US" w:eastAsia="zh-CN"/>
        </w:rPr>
        <w:t>报省财政厅审核</w:t>
      </w:r>
      <w:r>
        <w:rPr>
          <w:rFonts w:ascii="仿宋" w:hAnsi="仿宋" w:eastAsia="仿宋_GB2312"/>
          <w:color w:val="auto"/>
          <w:sz w:val="32"/>
          <w:szCs w:val="32"/>
        </w:rPr>
        <w:t>，</w:t>
      </w:r>
      <w:r>
        <w:rPr>
          <w:rFonts w:hint="eastAsia" w:ascii="仿宋" w:hAnsi="仿宋" w:eastAsia="仿宋_GB2312"/>
          <w:color w:val="auto"/>
          <w:sz w:val="32"/>
          <w:szCs w:val="32"/>
          <w:lang w:val="en-US" w:eastAsia="zh-CN"/>
        </w:rPr>
        <w:t>根据省财政厅审核意见按规定履行相关程序后，正式向省财政厅提交</w:t>
      </w:r>
      <w:r>
        <w:rPr>
          <w:rFonts w:hint="default" w:ascii="仿宋" w:hAnsi="仿宋" w:eastAsia="仿宋_GB2312"/>
          <w:color w:val="auto"/>
          <w:sz w:val="32"/>
          <w:szCs w:val="32"/>
          <w:lang w:val="en-US" w:eastAsia="zh-CN"/>
        </w:rPr>
        <w:t>项目</w:t>
      </w:r>
      <w:r>
        <w:rPr>
          <w:rFonts w:hint="eastAsia" w:ascii="仿宋" w:hAnsi="仿宋" w:eastAsia="仿宋_GB2312"/>
          <w:color w:val="auto"/>
          <w:sz w:val="32"/>
          <w:szCs w:val="32"/>
          <w:lang w:val="en-US" w:eastAsia="zh-CN"/>
        </w:rPr>
        <w:t>资金申请，省财政厅按照预算和国库管理有关规定下达并拨付资金。</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hint="default" w:ascii="仿宋" w:hAnsi="仿宋" w:eastAsia="仿宋_GB2312" w:cs="仿宋"/>
          <w:color w:val="auto"/>
          <w:sz w:val="32"/>
          <w:szCs w:val="32"/>
          <w:lang w:val="en-US" w:eastAsia="zh-CN"/>
        </w:rPr>
      </w:pPr>
      <w:r>
        <w:rPr>
          <w:rFonts w:hint="eastAsia" w:ascii="仿宋" w:hAnsi="仿宋" w:eastAsia="仿宋_GB2312" w:cs="仿宋"/>
          <w:b/>
          <w:color w:val="auto"/>
          <w:sz w:val="32"/>
          <w:szCs w:val="32"/>
        </w:rPr>
        <w:t xml:space="preserve">第十五条 </w:t>
      </w:r>
      <w:r>
        <w:rPr>
          <w:rFonts w:hint="eastAsia" w:ascii="仿宋" w:hAnsi="仿宋" w:eastAsia="仿宋_GB2312"/>
          <w:color w:val="auto"/>
          <w:sz w:val="32"/>
          <w:szCs w:val="32"/>
          <w:lang w:val="en-US" w:eastAsia="zh-CN"/>
        </w:rPr>
        <w:t>省科技厅制定</w:t>
      </w:r>
      <w:r>
        <w:rPr>
          <w:rFonts w:ascii="仿宋" w:hAnsi="仿宋" w:eastAsia="仿宋_GB2312"/>
          <w:color w:val="auto"/>
          <w:sz w:val="32"/>
          <w:szCs w:val="32"/>
        </w:rPr>
        <w:t>项目立项文件并下达立项通知</w:t>
      </w:r>
      <w:r>
        <w:rPr>
          <w:rFonts w:hint="eastAsia" w:ascii="仿宋" w:hAnsi="仿宋" w:eastAsia="仿宋_GB2312"/>
          <w:color w:val="auto"/>
          <w:sz w:val="32"/>
          <w:szCs w:val="32"/>
          <w:lang w:eastAsia="zh-CN"/>
        </w:rPr>
        <w:t>。</w:t>
      </w:r>
      <w:r>
        <w:rPr>
          <w:rFonts w:hint="eastAsia" w:ascii="仿宋" w:hAnsi="仿宋" w:eastAsia="仿宋_GB2312" w:cs="仿宋"/>
          <w:color w:val="auto"/>
          <w:sz w:val="32"/>
          <w:szCs w:val="32"/>
        </w:rPr>
        <w:t>项目承担单位须在立项文件下达后，按通知要求</w:t>
      </w:r>
      <w:r>
        <w:rPr>
          <w:rFonts w:ascii="仿宋" w:hAnsi="仿宋" w:eastAsia="仿宋_GB2312"/>
          <w:color w:val="auto"/>
          <w:sz w:val="32"/>
          <w:szCs w:val="32"/>
        </w:rPr>
        <w:t>与省科技厅、</w:t>
      </w:r>
      <w:r>
        <w:rPr>
          <w:rFonts w:hint="eastAsia" w:ascii="仿宋" w:hAnsi="仿宋" w:eastAsia="仿宋_GB2312"/>
          <w:color w:val="auto"/>
          <w:sz w:val="32"/>
          <w:szCs w:val="32"/>
        </w:rPr>
        <w:t>项目</w:t>
      </w:r>
      <w:r>
        <w:rPr>
          <w:rFonts w:ascii="仿宋" w:hAnsi="仿宋" w:eastAsia="仿宋_GB2312"/>
          <w:color w:val="auto"/>
          <w:sz w:val="32"/>
          <w:szCs w:val="32"/>
        </w:rPr>
        <w:t>初审推荐单位</w:t>
      </w:r>
      <w:r>
        <w:rPr>
          <w:rFonts w:hint="eastAsia" w:ascii="仿宋" w:hAnsi="仿宋" w:eastAsia="仿宋_GB2312" w:cs="仿宋"/>
          <w:color w:val="auto"/>
          <w:sz w:val="32"/>
          <w:szCs w:val="32"/>
        </w:rPr>
        <w:t>签订《辽宁省科技计划项目任务合同书》，任务合同书指标原则上不得变更和调整。逾期不签订项目任务书的，视为放弃承担项目资格。</w:t>
      </w:r>
      <w:r>
        <w:rPr>
          <w:rFonts w:hint="eastAsia" w:ascii="仿宋" w:hAnsi="仿宋" w:eastAsia="仿宋_GB2312" w:cs="仿宋"/>
          <w:color w:val="auto"/>
          <w:sz w:val="32"/>
          <w:szCs w:val="32"/>
          <w:lang w:val="en-US" w:eastAsia="zh-CN"/>
        </w:rPr>
        <w:t>合同签订完成后，项目管理单位及时将资金拨付至项目承担单位。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 w:hAnsi="仿宋" w:eastAsia="仿宋_GB2312"/>
          <w:color w:val="auto"/>
          <w:sz w:val="32"/>
          <w:szCs w:val="32"/>
        </w:rPr>
      </w:pPr>
      <w:r>
        <w:rPr>
          <w:rFonts w:hint="eastAsia" w:ascii="黑体" w:hAnsi="黑体" w:eastAsia="黑体" w:cs="黑体"/>
          <w:bCs/>
          <w:color w:val="auto"/>
          <w:sz w:val="32"/>
          <w:szCs w:val="32"/>
        </w:rPr>
        <w:t>第四章  项目实施</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hint="eastAsia" w:ascii="仿宋" w:hAnsi="仿宋" w:eastAsia="仿宋_GB2312" w:cs="仿宋"/>
          <w:color w:val="auto"/>
          <w:sz w:val="32"/>
          <w:szCs w:val="32"/>
        </w:rPr>
      </w:pPr>
      <w:r>
        <w:rPr>
          <w:rFonts w:hint="eastAsia" w:ascii="仿宋" w:hAnsi="仿宋" w:eastAsia="仿宋_GB2312" w:cs="仿宋"/>
          <w:b/>
          <w:color w:val="auto"/>
          <w:sz w:val="32"/>
          <w:szCs w:val="32"/>
        </w:rPr>
        <w:t>第</w:t>
      </w:r>
      <w:r>
        <w:rPr>
          <w:rFonts w:hint="eastAsia" w:ascii="仿宋" w:hAnsi="仿宋" w:eastAsia="仿宋_GB2312" w:cs="仿宋"/>
          <w:b/>
          <w:color w:val="auto"/>
          <w:sz w:val="32"/>
          <w:szCs w:val="32"/>
          <w:lang w:val="en-US" w:eastAsia="zh-CN"/>
        </w:rPr>
        <w:t>十六</w:t>
      </w:r>
      <w:r>
        <w:rPr>
          <w:rFonts w:hint="eastAsia" w:ascii="仿宋" w:hAnsi="仿宋" w:eastAsia="仿宋_GB2312" w:cs="仿宋"/>
          <w:b/>
          <w:color w:val="auto"/>
          <w:sz w:val="32"/>
          <w:szCs w:val="32"/>
        </w:rPr>
        <w:t xml:space="preserve">条 </w:t>
      </w:r>
      <w:r>
        <w:rPr>
          <w:rFonts w:ascii="仿宋" w:hAnsi="仿宋" w:eastAsia="仿宋_GB2312"/>
          <w:color w:val="auto"/>
          <w:sz w:val="32"/>
          <w:szCs w:val="32"/>
        </w:rPr>
        <w:t>项目承担单位应根据项目任务</w:t>
      </w:r>
      <w:r>
        <w:rPr>
          <w:rFonts w:hint="eastAsia" w:ascii="仿宋" w:hAnsi="仿宋" w:eastAsia="仿宋_GB2312"/>
          <w:color w:val="auto"/>
          <w:sz w:val="32"/>
          <w:szCs w:val="32"/>
        </w:rPr>
        <w:t>合同</w:t>
      </w:r>
      <w:r>
        <w:rPr>
          <w:rFonts w:ascii="仿宋" w:hAnsi="仿宋" w:eastAsia="仿宋_GB2312"/>
          <w:color w:val="auto"/>
          <w:sz w:val="32"/>
          <w:szCs w:val="32"/>
        </w:rPr>
        <w:t>书的各项约定组织项目实施，</w:t>
      </w:r>
      <w:r>
        <w:rPr>
          <w:rFonts w:hint="eastAsia" w:ascii="仿宋" w:hAnsi="仿宋" w:eastAsia="仿宋_GB2312" w:cs="仿宋"/>
          <w:color w:val="auto"/>
          <w:sz w:val="32"/>
          <w:szCs w:val="32"/>
        </w:rPr>
        <w:t>落实配套条件，</w:t>
      </w:r>
      <w:r>
        <w:rPr>
          <w:rFonts w:ascii="仿宋" w:hAnsi="仿宋" w:eastAsia="仿宋_GB2312"/>
          <w:color w:val="auto"/>
          <w:sz w:val="32"/>
          <w:szCs w:val="32"/>
        </w:rPr>
        <w:t>接受监督</w:t>
      </w:r>
      <w:r>
        <w:rPr>
          <w:rFonts w:hint="eastAsia" w:ascii="仿宋" w:hAnsi="仿宋" w:eastAsia="仿宋_GB2312"/>
          <w:color w:val="auto"/>
          <w:sz w:val="32"/>
          <w:szCs w:val="32"/>
        </w:rPr>
        <w:t>检查</w:t>
      </w:r>
      <w:r>
        <w:rPr>
          <w:rFonts w:ascii="仿宋" w:hAnsi="仿宋" w:eastAsia="仿宋_GB2312"/>
          <w:color w:val="auto"/>
          <w:sz w:val="32"/>
          <w:szCs w:val="32"/>
        </w:rPr>
        <w:t>和</w:t>
      </w:r>
      <w:r>
        <w:rPr>
          <w:rFonts w:hint="eastAsia" w:ascii="仿宋" w:hAnsi="仿宋" w:eastAsia="仿宋_GB2312"/>
          <w:color w:val="auto"/>
          <w:sz w:val="32"/>
          <w:szCs w:val="32"/>
        </w:rPr>
        <w:t>验收</w:t>
      </w:r>
      <w:r>
        <w:rPr>
          <w:rFonts w:ascii="仿宋" w:hAnsi="仿宋" w:eastAsia="仿宋_GB2312"/>
          <w:color w:val="auto"/>
          <w:sz w:val="32"/>
          <w:szCs w:val="32"/>
        </w:rPr>
        <w:t>评估</w:t>
      </w:r>
      <w:r>
        <w:rPr>
          <w:rFonts w:hint="eastAsia" w:ascii="仿宋" w:hAnsi="仿宋" w:eastAsia="仿宋_GB2312"/>
          <w:color w:val="auto"/>
          <w:sz w:val="32"/>
          <w:szCs w:val="32"/>
        </w:rPr>
        <w:t>；</w:t>
      </w:r>
      <w:r>
        <w:rPr>
          <w:rFonts w:ascii="仿宋" w:hAnsi="仿宋" w:eastAsia="仿宋_GB2312"/>
          <w:color w:val="auto"/>
          <w:sz w:val="32"/>
          <w:szCs w:val="32"/>
        </w:rPr>
        <w:t>明确目标和进度安排，履行责任和义务，</w:t>
      </w:r>
      <w:r>
        <w:rPr>
          <w:rFonts w:hint="eastAsia" w:ascii="仿宋" w:hAnsi="仿宋" w:eastAsia="仿宋_GB2312"/>
          <w:color w:val="auto"/>
          <w:sz w:val="32"/>
          <w:szCs w:val="32"/>
        </w:rPr>
        <w:t>依法依规使用项目经费，</w:t>
      </w:r>
      <w:r>
        <w:rPr>
          <w:rFonts w:ascii="仿宋" w:hAnsi="仿宋" w:eastAsia="仿宋_GB2312"/>
          <w:color w:val="auto"/>
          <w:sz w:val="32"/>
          <w:szCs w:val="32"/>
        </w:rPr>
        <w:t>按进度完成主要目标和任务</w:t>
      </w:r>
      <w:r>
        <w:rPr>
          <w:rFonts w:hint="eastAsia" w:ascii="仿宋" w:hAnsi="仿宋" w:eastAsia="仿宋_GB2312"/>
          <w:color w:val="auto"/>
          <w:sz w:val="32"/>
          <w:szCs w:val="32"/>
        </w:rPr>
        <w:t>，按要求</w:t>
      </w:r>
      <w:r>
        <w:rPr>
          <w:rFonts w:hint="eastAsia" w:ascii="仿宋" w:hAnsi="仿宋" w:eastAsia="仿宋_GB2312" w:cs="仿宋"/>
          <w:color w:val="auto"/>
          <w:sz w:val="32"/>
          <w:szCs w:val="32"/>
        </w:rPr>
        <w:t>提交相关材料</w:t>
      </w:r>
      <w:r>
        <w:rPr>
          <w:rFonts w:hint="eastAsia" w:ascii="仿宋" w:hAnsi="仿宋" w:eastAsia="仿宋_GB2312"/>
          <w:color w:val="auto"/>
          <w:sz w:val="32"/>
          <w:szCs w:val="32"/>
        </w:rPr>
        <w:t>；</w:t>
      </w:r>
      <w:r>
        <w:rPr>
          <w:rFonts w:hint="eastAsia" w:ascii="仿宋" w:hAnsi="仿宋" w:eastAsia="仿宋_GB2312" w:cs="仿宋"/>
          <w:color w:val="auto"/>
          <w:sz w:val="32"/>
          <w:szCs w:val="32"/>
        </w:rPr>
        <w:t>及时报告项目执行中的重大进展和出现的重大问题。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_GB2312" w:cs="仿宋"/>
          <w:color w:val="auto"/>
          <w:sz w:val="32"/>
          <w:szCs w:val="32"/>
          <w:lang w:val="en-US" w:eastAsia="zh-CN"/>
        </w:rPr>
      </w:pPr>
      <w:r>
        <w:rPr>
          <w:rFonts w:hint="eastAsia" w:ascii="仿宋" w:hAnsi="仿宋" w:eastAsia="仿宋_GB2312"/>
          <w:color w:val="auto"/>
          <w:sz w:val="32"/>
          <w:szCs w:val="32"/>
        </w:rPr>
        <w:t>项目初审推荐单位</w:t>
      </w:r>
      <w:r>
        <w:rPr>
          <w:rFonts w:hint="eastAsia" w:ascii="仿宋" w:hAnsi="仿宋" w:eastAsia="仿宋_GB2312"/>
          <w:color w:val="auto"/>
          <w:sz w:val="32"/>
          <w:szCs w:val="32"/>
          <w:lang w:val="en-US" w:eastAsia="zh-CN"/>
        </w:rPr>
        <w:t>应</w:t>
      </w:r>
      <w:r>
        <w:rPr>
          <w:rFonts w:hint="eastAsia" w:ascii="仿宋" w:hAnsi="仿宋" w:eastAsia="仿宋_GB2312"/>
          <w:color w:val="auto"/>
          <w:sz w:val="32"/>
          <w:szCs w:val="32"/>
        </w:rPr>
        <w:t>做好项目的跟踪和监管</w:t>
      </w:r>
      <w:r>
        <w:rPr>
          <w:rFonts w:hint="eastAsia" w:ascii="仿宋" w:hAnsi="仿宋" w:eastAsia="仿宋_GB2312"/>
          <w:color w:val="auto"/>
          <w:sz w:val="32"/>
          <w:szCs w:val="32"/>
          <w:lang w:eastAsia="zh-CN"/>
        </w:rPr>
        <w:t>，</w:t>
      </w:r>
      <w:r>
        <w:rPr>
          <w:rFonts w:hint="eastAsia" w:ascii="仿宋" w:hAnsi="仿宋" w:eastAsia="仿宋_GB2312"/>
          <w:color w:val="auto"/>
          <w:sz w:val="32"/>
          <w:szCs w:val="32"/>
        </w:rPr>
        <w:t>项目承担单位出现破产倒闭、撤销注销或其他影响项目正常实施的重大突发情况，不能履行报告职责的，初审推荐单位应及时了解情况并向省科技厅报告，</w:t>
      </w:r>
      <w:r>
        <w:rPr>
          <w:rFonts w:hint="eastAsia" w:ascii="仿宋" w:hAnsi="仿宋" w:eastAsia="仿宋_GB2312" w:cs="仿宋"/>
          <w:color w:val="auto"/>
          <w:sz w:val="32"/>
          <w:szCs w:val="32"/>
        </w:rPr>
        <w:t>因监管不力</w:t>
      </w:r>
      <w:r>
        <w:rPr>
          <w:rFonts w:ascii="仿宋" w:hAnsi="仿宋" w:eastAsia="仿宋_GB2312" w:cs="仿宋"/>
          <w:color w:val="auto"/>
          <w:sz w:val="32"/>
          <w:szCs w:val="32"/>
        </w:rPr>
        <w:t>而导致项目终止且</w:t>
      </w:r>
      <w:r>
        <w:rPr>
          <w:rFonts w:hint="eastAsia" w:ascii="仿宋" w:hAnsi="仿宋" w:eastAsia="仿宋_GB2312" w:cs="仿宋"/>
          <w:color w:val="auto"/>
          <w:sz w:val="32"/>
          <w:szCs w:val="32"/>
        </w:rPr>
        <w:t>造成重大不良影响的，</w:t>
      </w:r>
      <w:r>
        <w:rPr>
          <w:rFonts w:hint="eastAsia" w:ascii="仿宋" w:hAnsi="仿宋" w:eastAsia="仿宋_GB2312" w:cs="仿宋"/>
          <w:color w:val="auto"/>
          <w:sz w:val="32"/>
          <w:szCs w:val="32"/>
          <w:lang w:val="en-US" w:eastAsia="zh-CN"/>
        </w:rPr>
        <w:t>予以追责</w:t>
      </w:r>
      <w:r>
        <w:rPr>
          <w:rFonts w:ascii="仿宋" w:hAnsi="仿宋" w:eastAsia="仿宋_GB2312"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bCs/>
          <w:color w:val="auto"/>
          <w:sz w:val="32"/>
          <w:szCs w:val="32"/>
        </w:rPr>
      </w:pPr>
      <w:r>
        <w:rPr>
          <w:rFonts w:ascii="仿宋" w:hAnsi="仿宋" w:eastAsia="仿宋_GB2312"/>
          <w:b/>
          <w:color w:val="auto"/>
          <w:sz w:val="32"/>
          <w:szCs w:val="32"/>
        </w:rPr>
        <w:t>第</w:t>
      </w:r>
      <w:r>
        <w:rPr>
          <w:rFonts w:hint="eastAsia" w:ascii="仿宋" w:hAnsi="仿宋" w:eastAsia="仿宋_GB2312"/>
          <w:b/>
          <w:color w:val="auto"/>
          <w:sz w:val="32"/>
          <w:szCs w:val="32"/>
          <w:lang w:val="en-US" w:eastAsia="zh-CN"/>
        </w:rPr>
        <w:t>十七</w:t>
      </w:r>
      <w:r>
        <w:rPr>
          <w:rFonts w:hint="eastAsia" w:ascii="仿宋" w:hAnsi="仿宋" w:eastAsia="仿宋_GB2312"/>
          <w:b/>
          <w:color w:val="auto"/>
          <w:sz w:val="32"/>
          <w:szCs w:val="32"/>
        </w:rPr>
        <w:t>条</w:t>
      </w:r>
      <w:r>
        <w:rPr>
          <w:rFonts w:ascii="仿宋" w:hAnsi="仿宋" w:eastAsia="仿宋_GB2312"/>
          <w:b/>
          <w:color w:val="auto"/>
          <w:sz w:val="32"/>
          <w:szCs w:val="32"/>
        </w:rPr>
        <w:t xml:space="preserve"> </w:t>
      </w:r>
      <w:r>
        <w:rPr>
          <w:rFonts w:ascii="仿宋" w:hAnsi="仿宋" w:eastAsia="仿宋_GB2312"/>
          <w:color w:val="auto"/>
          <w:sz w:val="32"/>
          <w:szCs w:val="32"/>
        </w:rPr>
        <w:t>项目执行期内，项目任务</w:t>
      </w:r>
      <w:r>
        <w:rPr>
          <w:rFonts w:hint="eastAsia" w:ascii="仿宋" w:hAnsi="仿宋" w:eastAsia="仿宋_GB2312"/>
          <w:color w:val="auto"/>
          <w:sz w:val="32"/>
          <w:szCs w:val="32"/>
        </w:rPr>
        <w:t>合同</w:t>
      </w:r>
      <w:r>
        <w:rPr>
          <w:rFonts w:ascii="仿宋" w:hAnsi="仿宋" w:eastAsia="仿宋_GB2312"/>
          <w:color w:val="auto"/>
          <w:sz w:val="32"/>
          <w:szCs w:val="32"/>
        </w:rPr>
        <w:t>书约定的项目承担单位、项目负责人、</w:t>
      </w:r>
      <w:r>
        <w:rPr>
          <w:rFonts w:ascii="仿宋" w:hAnsi="仿宋" w:eastAsia="仿宋_GB2312" w:cs="仿宋"/>
          <w:bCs/>
          <w:color w:val="auto"/>
          <w:sz w:val="32"/>
          <w:szCs w:val="32"/>
        </w:rPr>
        <w:t>项目参与单位、项目主要研究目标和</w:t>
      </w:r>
      <w:r>
        <w:rPr>
          <w:rFonts w:ascii="仿宋" w:hAnsi="仿宋" w:eastAsia="仿宋_GB2312"/>
          <w:color w:val="auto"/>
          <w:sz w:val="32"/>
          <w:szCs w:val="32"/>
        </w:rPr>
        <w:t>考核指标等重要事项一般不得变更。因不可抗力因素或其他客观原因确需调整的，</w:t>
      </w:r>
      <w:r>
        <w:rPr>
          <w:rFonts w:ascii="仿宋" w:hAnsi="仿宋" w:eastAsia="仿宋_GB2312" w:cs="仿宋"/>
          <w:bCs/>
          <w:color w:val="auto"/>
          <w:sz w:val="32"/>
          <w:szCs w:val="32"/>
        </w:rPr>
        <w:t>由项目承担单位提出书面申请</w:t>
      </w:r>
      <w:r>
        <w:rPr>
          <w:rFonts w:hint="eastAsia" w:ascii="仿宋" w:hAnsi="仿宋" w:eastAsia="仿宋_GB2312" w:cs="仿宋"/>
          <w:bCs/>
          <w:color w:val="auto"/>
          <w:sz w:val="32"/>
          <w:szCs w:val="32"/>
        </w:rPr>
        <w:t>报项目初审推荐单位</w:t>
      </w:r>
      <w:r>
        <w:rPr>
          <w:rFonts w:ascii="仿宋" w:hAnsi="仿宋" w:eastAsia="仿宋_GB2312" w:cs="仿宋"/>
          <w:bCs/>
          <w:color w:val="auto"/>
          <w:sz w:val="32"/>
          <w:szCs w:val="32"/>
        </w:rPr>
        <w:t>，</w:t>
      </w:r>
      <w:r>
        <w:rPr>
          <w:rFonts w:hint="eastAsia" w:ascii="仿宋" w:hAnsi="仿宋" w:eastAsia="仿宋_GB2312" w:cs="仿宋"/>
          <w:bCs/>
          <w:color w:val="auto"/>
          <w:sz w:val="32"/>
          <w:szCs w:val="32"/>
        </w:rPr>
        <w:t>项目初审推荐单位</w:t>
      </w:r>
      <w:r>
        <w:rPr>
          <w:rFonts w:ascii="仿宋" w:hAnsi="仿宋" w:eastAsia="仿宋_GB2312" w:cs="仿宋"/>
          <w:bCs/>
          <w:color w:val="auto"/>
          <w:sz w:val="32"/>
          <w:szCs w:val="32"/>
        </w:rPr>
        <w:t>研究形成意见，报省科技厅审核。</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bCs/>
          <w:color w:val="auto"/>
          <w:sz w:val="32"/>
          <w:szCs w:val="32"/>
        </w:rPr>
      </w:pPr>
      <w:r>
        <w:rPr>
          <w:rFonts w:hint="eastAsia" w:ascii="仿宋" w:hAnsi="仿宋" w:eastAsia="仿宋_GB2312" w:cs="仿宋"/>
          <w:b/>
          <w:color w:val="auto"/>
          <w:sz w:val="32"/>
          <w:szCs w:val="32"/>
        </w:rPr>
        <w:t>第</w:t>
      </w:r>
      <w:r>
        <w:rPr>
          <w:rFonts w:hint="eastAsia" w:ascii="仿宋" w:hAnsi="仿宋" w:eastAsia="仿宋_GB2312" w:cs="仿宋"/>
          <w:b/>
          <w:color w:val="auto"/>
          <w:sz w:val="32"/>
          <w:szCs w:val="32"/>
          <w:lang w:val="en-US" w:eastAsia="zh-CN"/>
        </w:rPr>
        <w:t>十八</w:t>
      </w:r>
      <w:r>
        <w:rPr>
          <w:rFonts w:hint="eastAsia" w:ascii="仿宋" w:hAnsi="仿宋" w:eastAsia="仿宋_GB2312" w:cs="仿宋"/>
          <w:b/>
          <w:color w:val="auto"/>
          <w:sz w:val="32"/>
          <w:szCs w:val="32"/>
        </w:rPr>
        <w:t>条</w:t>
      </w:r>
      <w:r>
        <w:rPr>
          <w:rFonts w:ascii="仿宋" w:hAnsi="仿宋" w:eastAsia="仿宋_GB2312" w:cs="仿宋"/>
          <w:b/>
          <w:color w:val="auto"/>
          <w:sz w:val="32"/>
          <w:szCs w:val="32"/>
        </w:rPr>
        <w:t xml:space="preserve"> </w:t>
      </w:r>
      <w:r>
        <w:rPr>
          <w:rFonts w:ascii="仿宋" w:hAnsi="仿宋" w:eastAsia="仿宋_GB2312" w:cs="仿宋"/>
          <w:bCs/>
          <w:color w:val="auto"/>
          <w:sz w:val="32"/>
          <w:szCs w:val="32"/>
        </w:rPr>
        <w:t>项目因故不能按期完成须申请延期的，项目承担单位应于项目执行期结束前3个月提出延期申请，报省科技厅审核批准。项目延期原则上只能申请1次，延期时间原则上不超过1年。</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eastAsia="仿宋_GB2312"/>
          <w:color w:val="auto"/>
          <w:sz w:val="32"/>
          <w:szCs w:val="32"/>
        </w:rPr>
      </w:pPr>
      <w:r>
        <w:rPr>
          <w:rFonts w:ascii="仿宋" w:hAnsi="仿宋" w:eastAsia="仿宋_GB2312"/>
          <w:b/>
          <w:color w:val="auto"/>
          <w:sz w:val="32"/>
          <w:szCs w:val="32"/>
        </w:rPr>
        <w:t>第</w:t>
      </w:r>
      <w:r>
        <w:rPr>
          <w:rFonts w:hint="eastAsia" w:ascii="仿宋" w:hAnsi="仿宋" w:eastAsia="仿宋_GB2312"/>
          <w:b/>
          <w:color w:val="auto"/>
          <w:sz w:val="32"/>
          <w:szCs w:val="32"/>
          <w:lang w:val="en-US" w:eastAsia="zh-CN"/>
        </w:rPr>
        <w:t>十九</w:t>
      </w:r>
      <w:r>
        <w:rPr>
          <w:rFonts w:ascii="仿宋" w:hAnsi="仿宋" w:eastAsia="仿宋_GB2312"/>
          <w:b/>
          <w:color w:val="auto"/>
          <w:sz w:val="32"/>
          <w:szCs w:val="32"/>
        </w:rPr>
        <w:t>条</w:t>
      </w:r>
      <w:r>
        <w:rPr>
          <w:rFonts w:hint="eastAsia" w:ascii="仿宋" w:hAnsi="仿宋" w:eastAsia="仿宋_GB2312"/>
          <w:color w:val="auto"/>
          <w:sz w:val="32"/>
          <w:szCs w:val="32"/>
        </w:rPr>
        <w:t xml:space="preserve"> </w:t>
      </w:r>
      <w:r>
        <w:rPr>
          <w:rFonts w:eastAsia="仿宋_GB2312"/>
          <w:color w:val="auto"/>
          <w:sz w:val="32"/>
          <w:szCs w:val="32"/>
        </w:rPr>
        <w:t>对</w:t>
      </w:r>
      <w:r>
        <w:rPr>
          <w:rFonts w:hint="eastAsia" w:eastAsia="仿宋_GB2312"/>
          <w:color w:val="auto"/>
          <w:sz w:val="32"/>
          <w:szCs w:val="32"/>
          <w:lang w:val="en-US" w:eastAsia="zh-CN"/>
        </w:rPr>
        <w:t>经省科技厅认定的须进行中期评估的重点项目，</w:t>
      </w:r>
      <w:r>
        <w:rPr>
          <w:rFonts w:eastAsia="仿宋_GB2312"/>
          <w:color w:val="auto"/>
          <w:sz w:val="32"/>
          <w:szCs w:val="32"/>
        </w:rPr>
        <w:t>在项目实施中期，</w:t>
      </w:r>
      <w:r>
        <w:rPr>
          <w:rFonts w:hint="eastAsia" w:ascii="仿宋" w:hAnsi="仿宋" w:eastAsia="仿宋_GB2312"/>
          <w:color w:val="auto"/>
          <w:sz w:val="32"/>
          <w:szCs w:val="32"/>
        </w:rPr>
        <w:t>省科技厅组织或委托初审推荐单位或第三方机构开展</w:t>
      </w:r>
      <w:r>
        <w:rPr>
          <w:rFonts w:ascii="仿宋" w:hAnsi="仿宋" w:eastAsia="仿宋_GB2312"/>
          <w:color w:val="auto"/>
          <w:sz w:val="32"/>
          <w:szCs w:val="32"/>
        </w:rPr>
        <w:t>中期评估</w:t>
      </w:r>
      <w:r>
        <w:rPr>
          <w:rFonts w:hint="eastAsia" w:ascii="仿宋" w:hAnsi="仿宋" w:eastAsia="仿宋_GB2312"/>
          <w:color w:val="auto"/>
          <w:sz w:val="32"/>
          <w:szCs w:val="32"/>
        </w:rPr>
        <w:t>，评估</w:t>
      </w:r>
      <w:r>
        <w:rPr>
          <w:rFonts w:ascii="仿宋" w:hAnsi="仿宋" w:eastAsia="仿宋_GB2312"/>
          <w:color w:val="auto"/>
          <w:sz w:val="32"/>
          <w:szCs w:val="32"/>
        </w:rPr>
        <w:t>项目执行情况</w:t>
      </w:r>
      <w:r>
        <w:rPr>
          <w:rFonts w:hint="eastAsia" w:ascii="仿宋" w:hAnsi="仿宋" w:eastAsia="仿宋_GB2312"/>
          <w:color w:val="auto"/>
          <w:sz w:val="32"/>
          <w:szCs w:val="32"/>
        </w:rPr>
        <w:t>及取得的阶段性成果，</w:t>
      </w:r>
      <w:r>
        <w:rPr>
          <w:rFonts w:ascii="仿宋" w:hAnsi="仿宋" w:eastAsia="仿宋_GB2312"/>
          <w:color w:val="auto"/>
          <w:sz w:val="32"/>
          <w:szCs w:val="32"/>
        </w:rPr>
        <w:t>对项目能否完成预定任务目标</w:t>
      </w:r>
      <w:r>
        <w:rPr>
          <w:rFonts w:hint="eastAsia" w:ascii="仿宋" w:hAnsi="仿宋" w:eastAsia="仿宋_GB2312"/>
          <w:color w:val="auto"/>
          <w:sz w:val="32"/>
          <w:szCs w:val="32"/>
          <w:lang w:eastAsia="zh-CN"/>
        </w:rPr>
        <w:t>作出判断</w:t>
      </w:r>
      <w:r>
        <w:rPr>
          <w:rFonts w:hint="eastAsia" w:ascii="仿宋" w:hAnsi="仿宋" w:eastAsia="仿宋_GB2312"/>
          <w:color w:val="auto"/>
          <w:sz w:val="32"/>
          <w:szCs w:val="32"/>
        </w:rPr>
        <w:t>，</w:t>
      </w:r>
      <w:r>
        <w:rPr>
          <w:rFonts w:eastAsia="仿宋_GB2312"/>
          <w:color w:val="auto"/>
          <w:sz w:val="32"/>
          <w:szCs w:val="32"/>
        </w:rPr>
        <w:t>并形成中期</w:t>
      </w:r>
      <w:r>
        <w:rPr>
          <w:rFonts w:hint="eastAsia" w:eastAsia="仿宋_GB2312"/>
          <w:color w:val="auto"/>
          <w:sz w:val="32"/>
          <w:szCs w:val="32"/>
        </w:rPr>
        <w:t>评估</w:t>
      </w:r>
      <w:r>
        <w:rPr>
          <w:rFonts w:eastAsia="仿宋_GB2312"/>
          <w:color w:val="auto"/>
          <w:sz w:val="32"/>
          <w:szCs w:val="32"/>
        </w:rPr>
        <w:t>报告。</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bCs/>
          <w:color w:val="auto"/>
          <w:sz w:val="32"/>
          <w:szCs w:val="32"/>
        </w:rPr>
      </w:pPr>
      <w:r>
        <w:rPr>
          <w:rFonts w:hint="eastAsia" w:ascii="仿宋" w:hAnsi="仿宋" w:eastAsia="仿宋_GB2312" w:cs="仿宋"/>
          <w:b/>
          <w:color w:val="auto"/>
          <w:sz w:val="32"/>
          <w:szCs w:val="32"/>
        </w:rPr>
        <w:t>第二十条</w:t>
      </w:r>
      <w:r>
        <w:rPr>
          <w:rFonts w:hint="eastAsia" w:ascii="仿宋" w:hAnsi="仿宋" w:eastAsia="仿宋_GB2312" w:cs="仿宋"/>
          <w:bCs/>
          <w:color w:val="auto"/>
          <w:sz w:val="32"/>
          <w:szCs w:val="32"/>
        </w:rPr>
        <w:t xml:space="preserve"> 项目立项后有下列情形之一的，省科技厅可直接终止项目：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（一）项目无法按合同任务书约定的计划实施，进度严重滞后，或项目难以达到预期目标；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（二）完成项目任务所需的资金、原材料、人员、支撑条件等未落实或发生改变导致项目无法正常进行；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（三）项目实施过程中</w:t>
      </w:r>
      <w:r>
        <w:rPr>
          <w:rFonts w:ascii="仿宋" w:hAnsi="仿宋" w:eastAsia="仿宋_GB2312"/>
          <w:color w:val="auto"/>
          <w:sz w:val="32"/>
          <w:szCs w:val="32"/>
        </w:rPr>
        <w:t>出现科研不端行为，</w:t>
      </w:r>
      <w:r>
        <w:rPr>
          <w:rFonts w:hint="eastAsia" w:ascii="仿宋" w:hAnsi="仿宋" w:eastAsia="仿宋_GB2312" w:cs="仿宋"/>
          <w:bCs/>
          <w:color w:val="auto"/>
          <w:sz w:val="32"/>
          <w:szCs w:val="32"/>
        </w:rPr>
        <w:t>违规违纪行为，不按规定进行整改或拒绝整改；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（四）项目承担单位未按项目合同约定的计划进度实施项目，经催告后仍迟延实施；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（五）项目承担单位不接受项目监督检查，经催告后仍不配合；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（六）</w:t>
      </w:r>
      <w:r>
        <w:rPr>
          <w:rFonts w:ascii="仿宋" w:hAnsi="仿宋" w:eastAsia="仿宋_GB2312"/>
          <w:color w:val="auto"/>
          <w:sz w:val="32"/>
          <w:szCs w:val="32"/>
        </w:rPr>
        <w:t>项目执行期满后未</w:t>
      </w:r>
      <w:r>
        <w:rPr>
          <w:rFonts w:hint="eastAsia" w:ascii="仿宋" w:hAnsi="仿宋" w:eastAsia="仿宋_GB2312"/>
          <w:color w:val="auto"/>
          <w:sz w:val="32"/>
          <w:szCs w:val="32"/>
        </w:rPr>
        <w:t>在</w:t>
      </w:r>
      <w:r>
        <w:rPr>
          <w:rFonts w:ascii="仿宋" w:hAnsi="仿宋" w:eastAsia="仿宋_GB2312"/>
          <w:color w:val="auto"/>
          <w:sz w:val="32"/>
          <w:szCs w:val="32"/>
        </w:rPr>
        <w:t>规定时限内提交验收材料，且未按要求提交延期申请</w:t>
      </w:r>
      <w:r>
        <w:rPr>
          <w:rFonts w:hint="eastAsia" w:ascii="仿宋" w:hAnsi="仿宋" w:eastAsia="仿宋_GB2312" w:cs="仿宋"/>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bCs/>
          <w:color w:val="auto"/>
          <w:sz w:val="32"/>
          <w:szCs w:val="32"/>
        </w:rPr>
      </w:pPr>
      <w:r>
        <w:rPr>
          <w:rFonts w:hint="eastAsia" w:ascii="仿宋" w:hAnsi="仿宋" w:eastAsia="仿宋_GB2312" w:cs="仿宋"/>
          <w:bCs/>
          <w:color w:val="auto"/>
          <w:sz w:val="32"/>
          <w:szCs w:val="32"/>
        </w:rPr>
        <w:t>（七）省科技厅规定的其他情形，以及项目合同约定的其他情形。</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bCs/>
          <w:color w:val="auto"/>
          <w:sz w:val="32"/>
          <w:szCs w:val="32"/>
        </w:rPr>
      </w:pPr>
      <w:r>
        <w:rPr>
          <w:rFonts w:hint="eastAsia" w:ascii="仿宋" w:hAnsi="仿宋" w:eastAsia="仿宋_GB2312" w:cs="仿宋"/>
          <w:b/>
          <w:bCs/>
          <w:color w:val="auto"/>
          <w:sz w:val="32"/>
          <w:szCs w:val="32"/>
        </w:rPr>
        <w:t>第二十</w:t>
      </w:r>
      <w:r>
        <w:rPr>
          <w:rFonts w:hint="eastAsia" w:ascii="仿宋" w:hAnsi="仿宋" w:eastAsia="仿宋_GB2312" w:cs="仿宋"/>
          <w:b/>
          <w:bCs/>
          <w:color w:val="auto"/>
          <w:sz w:val="32"/>
          <w:szCs w:val="32"/>
          <w:lang w:val="en-US" w:eastAsia="zh-CN"/>
        </w:rPr>
        <w:t>一</w:t>
      </w:r>
      <w:r>
        <w:rPr>
          <w:rFonts w:hint="eastAsia" w:ascii="仿宋" w:hAnsi="仿宋" w:eastAsia="仿宋_GB2312" w:cs="仿宋"/>
          <w:b/>
          <w:bCs/>
          <w:color w:val="auto"/>
          <w:sz w:val="32"/>
          <w:szCs w:val="32"/>
        </w:rPr>
        <w:t>条</w:t>
      </w:r>
      <w:r>
        <w:rPr>
          <w:rFonts w:hint="eastAsia" w:ascii="仿宋" w:hAnsi="仿宋" w:eastAsia="仿宋_GB2312" w:cs="仿宋"/>
          <w:bCs/>
          <w:color w:val="auto"/>
          <w:sz w:val="32"/>
          <w:szCs w:val="32"/>
        </w:rPr>
        <w:t xml:space="preserve"> 终止项目的，项目承担单位应当对项目已开展的工作、经费使用、已购置设备仪器、阶段性成果、知识产权等情况做出书面报告。</w:t>
      </w:r>
      <w:r>
        <w:rPr>
          <w:rFonts w:hint="eastAsia" w:ascii="仿宋" w:hAnsi="仿宋" w:eastAsia="仿宋_GB2312"/>
          <w:color w:val="auto"/>
          <w:sz w:val="32"/>
          <w:szCs w:val="32"/>
        </w:rPr>
        <w:t>省科技厅会同省财政厅进行论证，视情况确定全部或部分收回项目资金。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仿宋"/>
          <w:color w:val="auto"/>
          <w:sz w:val="32"/>
          <w:szCs w:val="32"/>
        </w:rPr>
      </w:pPr>
      <w:r>
        <w:rPr>
          <w:rFonts w:hint="eastAsia" w:ascii="黑体" w:hAnsi="黑体" w:eastAsia="黑体" w:cs="黑体"/>
          <w:bCs/>
          <w:color w:val="auto"/>
          <w:sz w:val="32"/>
          <w:szCs w:val="32"/>
        </w:rPr>
        <w:t>第五章 项目验收与监督管理</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bCs/>
          <w:color w:val="auto"/>
          <w:sz w:val="32"/>
          <w:szCs w:val="32"/>
        </w:rPr>
      </w:pPr>
      <w:r>
        <w:rPr>
          <w:rFonts w:hint="eastAsia" w:ascii="仿宋" w:hAnsi="仿宋" w:eastAsia="仿宋_GB2312" w:cs="仿宋"/>
          <w:b/>
          <w:color w:val="auto"/>
          <w:sz w:val="32"/>
          <w:szCs w:val="32"/>
        </w:rPr>
        <w:t>第二十</w:t>
      </w:r>
      <w:r>
        <w:rPr>
          <w:rFonts w:hint="eastAsia" w:ascii="仿宋" w:hAnsi="仿宋" w:eastAsia="仿宋_GB2312" w:cs="仿宋"/>
          <w:b/>
          <w:color w:val="auto"/>
          <w:sz w:val="32"/>
          <w:szCs w:val="32"/>
          <w:lang w:val="en-US" w:eastAsia="zh-CN"/>
        </w:rPr>
        <w:t>二</w:t>
      </w:r>
      <w:r>
        <w:rPr>
          <w:rFonts w:hint="eastAsia" w:ascii="仿宋" w:hAnsi="仿宋" w:eastAsia="仿宋_GB2312" w:cs="仿宋"/>
          <w:b/>
          <w:color w:val="auto"/>
          <w:sz w:val="32"/>
          <w:szCs w:val="32"/>
        </w:rPr>
        <w:t xml:space="preserve">条 </w:t>
      </w:r>
      <w:r>
        <w:rPr>
          <w:rFonts w:hint="eastAsia" w:ascii="仿宋" w:hAnsi="仿宋" w:eastAsia="仿宋_GB2312" w:cs="仿宋"/>
          <w:bCs/>
          <w:color w:val="auto"/>
          <w:sz w:val="32"/>
          <w:szCs w:val="32"/>
        </w:rPr>
        <w:t>对</w:t>
      </w:r>
      <w:r>
        <w:rPr>
          <w:rFonts w:hint="eastAsia" w:ascii="仿宋" w:hAnsi="仿宋" w:eastAsia="仿宋_GB2312" w:cs="仿宋"/>
          <w:bCs/>
          <w:color w:val="auto"/>
          <w:sz w:val="32"/>
          <w:szCs w:val="32"/>
          <w:lang w:val="en-US" w:eastAsia="zh-CN"/>
        </w:rPr>
        <w:t>经省科技厅认定的须进行</w:t>
      </w:r>
      <w:r>
        <w:rPr>
          <w:rFonts w:hint="eastAsia" w:ascii="仿宋" w:hAnsi="仿宋" w:eastAsia="仿宋_GB2312" w:cs="仿宋"/>
          <w:bCs/>
          <w:color w:val="auto"/>
          <w:sz w:val="32"/>
          <w:szCs w:val="32"/>
        </w:rPr>
        <w:t>验收的项目，省科技厅</w:t>
      </w:r>
      <w:r>
        <w:rPr>
          <w:rFonts w:hint="eastAsia" w:ascii="仿宋" w:hAnsi="仿宋" w:eastAsia="仿宋_GB2312" w:cs="仿宋"/>
          <w:color w:val="auto"/>
          <w:sz w:val="32"/>
          <w:szCs w:val="32"/>
        </w:rPr>
        <w:t>或委托第三方机构</w:t>
      </w:r>
      <w:r>
        <w:rPr>
          <w:rFonts w:hint="eastAsia" w:ascii="仿宋" w:hAnsi="仿宋" w:eastAsia="仿宋_GB2312" w:cs="仿宋"/>
          <w:bCs/>
          <w:color w:val="auto"/>
          <w:sz w:val="32"/>
          <w:szCs w:val="32"/>
        </w:rPr>
        <w:t>采用项目综合绩效评价等方法，评价项目任务完成情况和经费管理使用情况，组织项目验收工作。</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olor w:val="auto"/>
          <w:sz w:val="32"/>
          <w:szCs w:val="32"/>
        </w:rPr>
      </w:pPr>
      <w:r>
        <w:rPr>
          <w:rFonts w:ascii="仿宋" w:hAnsi="仿宋" w:eastAsia="仿宋_GB2312"/>
          <w:b/>
          <w:color w:val="auto"/>
          <w:sz w:val="32"/>
          <w:szCs w:val="32"/>
        </w:rPr>
        <w:t>第</w:t>
      </w:r>
      <w:r>
        <w:rPr>
          <w:rFonts w:hint="eastAsia" w:ascii="仿宋" w:hAnsi="仿宋" w:eastAsia="仿宋_GB2312"/>
          <w:b/>
          <w:color w:val="auto"/>
          <w:sz w:val="32"/>
          <w:szCs w:val="32"/>
        </w:rPr>
        <w:t>二十</w:t>
      </w:r>
      <w:r>
        <w:rPr>
          <w:rFonts w:hint="eastAsia" w:ascii="仿宋" w:hAnsi="仿宋" w:eastAsia="仿宋_GB2312"/>
          <w:b/>
          <w:color w:val="auto"/>
          <w:sz w:val="32"/>
          <w:szCs w:val="32"/>
          <w:lang w:val="en-US" w:eastAsia="zh-CN"/>
        </w:rPr>
        <w:t>三</w:t>
      </w:r>
      <w:r>
        <w:rPr>
          <w:rFonts w:ascii="仿宋" w:hAnsi="仿宋" w:eastAsia="仿宋_GB2312"/>
          <w:b/>
          <w:color w:val="auto"/>
          <w:sz w:val="32"/>
          <w:szCs w:val="32"/>
        </w:rPr>
        <w:t xml:space="preserve">条 </w:t>
      </w:r>
      <w:r>
        <w:rPr>
          <w:rFonts w:hint="eastAsia" w:ascii="仿宋" w:hAnsi="仿宋" w:eastAsia="仿宋_GB2312"/>
          <w:color w:val="auto"/>
          <w:sz w:val="32"/>
          <w:szCs w:val="32"/>
        </w:rPr>
        <w:t>综合绩效评价结论分为通过、未通过和结题三类。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olor w:val="auto"/>
          <w:sz w:val="32"/>
          <w:szCs w:val="32"/>
        </w:rPr>
      </w:pPr>
      <w:r>
        <w:rPr>
          <w:rFonts w:hint="eastAsia" w:ascii="仿宋" w:hAnsi="仿宋" w:eastAsia="仿宋_GB2312"/>
          <w:color w:val="auto"/>
          <w:sz w:val="32"/>
          <w:szCs w:val="32"/>
        </w:rPr>
        <w:t>（一）按期保质完成项目任务合同书约定的目标和任务，并合规合理管理和使用经费，为通过。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olor w:val="auto"/>
          <w:sz w:val="32"/>
          <w:szCs w:val="32"/>
        </w:rPr>
      </w:pPr>
      <w:r>
        <w:rPr>
          <w:rFonts w:hint="eastAsia" w:ascii="仿宋" w:hAnsi="仿宋" w:eastAsia="仿宋_GB2312"/>
          <w:color w:val="auto"/>
          <w:sz w:val="32"/>
          <w:szCs w:val="32"/>
        </w:rPr>
        <w:t>（二）因非不可抗拒因素未完成项目任务合同书约定的主要目标和任务，为未通过。提供的文件、资料、数据存在弄虚作假的，未按相关要求报批调整事项的，在科研资金使用中有重大违规行为的</w:t>
      </w:r>
      <w:r>
        <w:rPr>
          <w:rFonts w:ascii="仿宋" w:hAnsi="仿宋" w:eastAsia="仿宋_GB2312"/>
          <w:color w:val="auto"/>
          <w:sz w:val="32"/>
          <w:szCs w:val="32"/>
        </w:rPr>
        <w:t>，</w:t>
      </w:r>
      <w:r>
        <w:rPr>
          <w:rFonts w:hint="eastAsia" w:ascii="仿宋" w:hAnsi="仿宋" w:eastAsia="仿宋_GB2312"/>
          <w:color w:val="auto"/>
          <w:sz w:val="32"/>
          <w:szCs w:val="32"/>
        </w:rPr>
        <w:t>项目承担单位或人员存在严重失信行为并造成重大影响的，拒不配合综合绩效评价工作的，均按未通过处理。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olor w:val="auto"/>
          <w:sz w:val="32"/>
          <w:szCs w:val="32"/>
        </w:rPr>
      </w:pPr>
      <w:r>
        <w:rPr>
          <w:rFonts w:hint="eastAsia" w:ascii="仿宋" w:hAnsi="仿宋" w:eastAsia="仿宋_GB2312"/>
          <w:color w:val="auto"/>
          <w:sz w:val="32"/>
          <w:szCs w:val="32"/>
        </w:rPr>
        <w:t>（三）因不可抗拒因素未完成项目任务合同书约定的主要目标和任务的，按结题处理。</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olor w:val="auto"/>
          <w:sz w:val="32"/>
          <w:szCs w:val="32"/>
        </w:rPr>
      </w:pPr>
      <w:r>
        <w:rPr>
          <w:rFonts w:hint="eastAsia" w:ascii="仿宋" w:hAnsi="仿宋" w:eastAsia="仿宋_GB2312"/>
          <w:b/>
          <w:color w:val="auto"/>
          <w:sz w:val="32"/>
          <w:szCs w:val="32"/>
        </w:rPr>
        <w:t>第二十</w:t>
      </w:r>
      <w:r>
        <w:rPr>
          <w:rFonts w:hint="eastAsia" w:ascii="仿宋" w:hAnsi="仿宋" w:eastAsia="仿宋_GB2312"/>
          <w:b/>
          <w:color w:val="auto"/>
          <w:sz w:val="32"/>
          <w:szCs w:val="32"/>
          <w:lang w:val="en-US" w:eastAsia="zh-CN"/>
        </w:rPr>
        <w:t>四</w:t>
      </w:r>
      <w:r>
        <w:rPr>
          <w:rFonts w:hint="eastAsia" w:ascii="仿宋" w:hAnsi="仿宋" w:eastAsia="仿宋_GB2312"/>
          <w:b/>
          <w:color w:val="auto"/>
          <w:sz w:val="32"/>
          <w:szCs w:val="32"/>
        </w:rPr>
        <w:t>条</w:t>
      </w:r>
      <w:r>
        <w:rPr>
          <w:rFonts w:hint="eastAsia" w:ascii="仿宋" w:hAnsi="仿宋" w:eastAsia="仿宋_GB2312"/>
          <w:color w:val="auto"/>
          <w:sz w:val="32"/>
          <w:szCs w:val="32"/>
        </w:rPr>
        <w:t xml:space="preserve"> 项目综合绩效评价结论为通过且项目承担单位经费使用规范、信用评价好的，结余资金留归项目承担单位统筹安排用于科研活动直接支出。结论为未通过或结题的项目，以及按照相关规定需返还结余资金的项目，结余资金应及时按原渠道返还。</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bCs/>
          <w:color w:val="auto"/>
          <w:sz w:val="32"/>
          <w:szCs w:val="32"/>
        </w:rPr>
        <w:t>第二十</w:t>
      </w:r>
      <w:r>
        <w:rPr>
          <w:rFonts w:hint="eastAsia" w:ascii="仿宋" w:hAnsi="仿宋" w:eastAsia="仿宋_GB2312" w:cs="仿宋"/>
          <w:b/>
          <w:bCs/>
          <w:color w:val="auto"/>
          <w:sz w:val="32"/>
          <w:szCs w:val="32"/>
          <w:lang w:val="en-US" w:eastAsia="zh-CN"/>
        </w:rPr>
        <w:t>五</w:t>
      </w:r>
      <w:r>
        <w:rPr>
          <w:rFonts w:hint="eastAsia" w:ascii="仿宋" w:hAnsi="仿宋" w:eastAsia="仿宋_GB2312" w:cs="仿宋"/>
          <w:b/>
          <w:bCs/>
          <w:color w:val="auto"/>
          <w:sz w:val="32"/>
          <w:szCs w:val="32"/>
        </w:rPr>
        <w:t>条</w:t>
      </w:r>
      <w:r>
        <w:rPr>
          <w:rFonts w:hint="eastAsia" w:ascii="仿宋" w:hAnsi="仿宋" w:eastAsia="仿宋_GB2312" w:cs="仿宋"/>
          <w:color w:val="auto"/>
          <w:sz w:val="32"/>
          <w:szCs w:val="32"/>
        </w:rPr>
        <w:t xml:space="preserve"> </w:t>
      </w:r>
      <w:r>
        <w:rPr>
          <w:rFonts w:hint="eastAsia" w:ascii="仿宋" w:hAnsi="仿宋" w:eastAsia="仿宋_GB2312" w:cs="仿宋"/>
          <w:color w:val="auto"/>
          <w:sz w:val="32"/>
          <w:szCs w:val="32"/>
          <w:lang w:val="en-US" w:eastAsia="zh-CN"/>
        </w:rPr>
        <w:t>省科技厅</w:t>
      </w:r>
      <w:r>
        <w:rPr>
          <w:rFonts w:hint="eastAsia" w:ascii="仿宋" w:hAnsi="仿宋" w:eastAsia="仿宋_GB2312" w:cs="仿宋"/>
          <w:color w:val="auto"/>
          <w:sz w:val="32"/>
          <w:szCs w:val="32"/>
        </w:rPr>
        <w:t>会同省财政厅组织或授权、委托第三方机构</w:t>
      </w:r>
      <w:r>
        <w:rPr>
          <w:rFonts w:hint="eastAsia" w:ascii="仿宋" w:hAnsi="仿宋" w:eastAsia="仿宋_GB2312" w:cs="仿宋"/>
          <w:color w:val="auto"/>
          <w:sz w:val="32"/>
          <w:szCs w:val="32"/>
          <w:lang w:val="en-US" w:eastAsia="zh-CN"/>
        </w:rPr>
        <w:t>监督检查</w:t>
      </w:r>
      <w:r>
        <w:rPr>
          <w:rFonts w:hint="eastAsia" w:ascii="仿宋" w:hAnsi="仿宋" w:eastAsia="仿宋_GB2312" w:cs="仿宋"/>
          <w:color w:val="auto"/>
          <w:sz w:val="32"/>
          <w:szCs w:val="32"/>
        </w:rPr>
        <w:t>项目执行情况，监督</w:t>
      </w:r>
      <w:r>
        <w:rPr>
          <w:rFonts w:hint="eastAsia" w:ascii="仿宋" w:hAnsi="仿宋" w:eastAsia="仿宋_GB2312" w:cs="仿宋"/>
          <w:color w:val="auto"/>
          <w:sz w:val="32"/>
          <w:szCs w:val="32"/>
          <w:lang w:val="en-US" w:eastAsia="zh-CN"/>
        </w:rPr>
        <w:t>检查</w:t>
      </w:r>
      <w:r>
        <w:rPr>
          <w:rFonts w:hint="eastAsia" w:ascii="仿宋" w:hAnsi="仿宋" w:eastAsia="仿宋_GB2312" w:cs="仿宋"/>
          <w:color w:val="auto"/>
          <w:sz w:val="32"/>
          <w:szCs w:val="32"/>
        </w:rPr>
        <w:t>的主要内容包括但不限于以下方面：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color w:val="auto"/>
          <w:sz w:val="32"/>
          <w:szCs w:val="32"/>
        </w:rPr>
      </w:pPr>
      <w:r>
        <w:rPr>
          <w:rFonts w:hint="eastAsia" w:ascii="仿宋" w:hAnsi="仿宋" w:eastAsia="仿宋_GB2312" w:cs="仿宋"/>
          <w:color w:val="auto"/>
          <w:sz w:val="32"/>
          <w:szCs w:val="32"/>
        </w:rPr>
        <w:t>（一）项目承担单位法人主体责任制落实情况、项目执行情况及资金的管理使用情况；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color w:val="auto"/>
          <w:sz w:val="32"/>
          <w:szCs w:val="32"/>
        </w:rPr>
      </w:pPr>
      <w:r>
        <w:rPr>
          <w:rFonts w:hint="eastAsia" w:ascii="仿宋" w:hAnsi="仿宋" w:eastAsia="仿宋_GB2312" w:cs="仿宋"/>
          <w:color w:val="auto"/>
          <w:sz w:val="32"/>
          <w:szCs w:val="32"/>
        </w:rPr>
        <w:t>（二）科研人员在项目申报、实施和资金管理使用中的科研诚信和履职尽责情况；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color w:val="auto"/>
          <w:sz w:val="32"/>
          <w:szCs w:val="32"/>
        </w:rPr>
      </w:pPr>
      <w:r>
        <w:rPr>
          <w:rFonts w:hint="eastAsia" w:ascii="仿宋" w:hAnsi="仿宋" w:eastAsia="仿宋_GB2312" w:cs="仿宋"/>
          <w:color w:val="auto"/>
          <w:sz w:val="32"/>
          <w:szCs w:val="32"/>
        </w:rPr>
        <w:t>（三）专家在项目评审、咨询、验收、评估等工作中的履职尽责情况。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w:t>
      </w:r>
      <w:r>
        <w:rPr>
          <w:rFonts w:hint="eastAsia" w:ascii="仿宋" w:hAnsi="仿宋" w:eastAsia="仿宋_GB2312" w:cs="仿宋"/>
          <w:b/>
          <w:color w:val="auto"/>
          <w:sz w:val="32"/>
          <w:szCs w:val="32"/>
          <w:lang w:val="en-US" w:eastAsia="zh-CN"/>
        </w:rPr>
        <w:t>二十六</w:t>
      </w:r>
      <w:r>
        <w:rPr>
          <w:rFonts w:hint="eastAsia" w:ascii="仿宋" w:hAnsi="仿宋" w:eastAsia="仿宋_GB2312" w:cs="仿宋"/>
          <w:b/>
          <w:color w:val="auto"/>
          <w:sz w:val="32"/>
          <w:szCs w:val="32"/>
        </w:rPr>
        <w:t>条</w:t>
      </w:r>
      <w:r>
        <w:rPr>
          <w:rFonts w:ascii="Calibri" w:hAnsi="Calibri" w:eastAsia="仿宋_GB2312" w:cs="Calibri"/>
          <w:color w:val="auto"/>
          <w:sz w:val="32"/>
          <w:szCs w:val="32"/>
        </w:rPr>
        <w:t> </w:t>
      </w:r>
      <w:r>
        <w:rPr>
          <w:rFonts w:hint="eastAsia" w:ascii="仿宋" w:hAnsi="仿宋" w:eastAsia="仿宋_GB2312" w:cs="仿宋"/>
          <w:color w:val="auto"/>
          <w:sz w:val="32"/>
          <w:szCs w:val="32"/>
        </w:rPr>
        <w:t>监督检查应当在不影响项目承担单位正常科研活动的情况下开展，避免在同一年度对同一项目重复检查、多头检查。实施周期</w:t>
      </w:r>
      <w:r>
        <w:rPr>
          <w:rFonts w:hint="default" w:ascii="Times New Roman" w:hAnsi="Times New Roman" w:eastAsia="仿宋_GB2312" w:cs="Times New Roman"/>
          <w:color w:val="auto"/>
          <w:sz w:val="32"/>
          <w:szCs w:val="32"/>
        </w:rPr>
        <w:t>3年以下（不含3年</w:t>
      </w:r>
      <w:r>
        <w:rPr>
          <w:rFonts w:ascii="仿宋" w:hAnsi="仿宋" w:eastAsia="仿宋_GB2312" w:cs="仿宋"/>
          <w:color w:val="auto"/>
          <w:sz w:val="32"/>
          <w:szCs w:val="32"/>
        </w:rPr>
        <w:t>）</w:t>
      </w:r>
      <w:r>
        <w:rPr>
          <w:rFonts w:hint="eastAsia" w:ascii="仿宋" w:hAnsi="仿宋" w:eastAsia="仿宋_GB2312" w:cs="仿宋"/>
          <w:color w:val="auto"/>
          <w:sz w:val="32"/>
          <w:szCs w:val="32"/>
        </w:rPr>
        <w:t>的项目，一般不开展过程检查。如确有必要，原则上在项目实施期内只开展关键节点考核或现场检查。</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w:t>
      </w:r>
      <w:r>
        <w:rPr>
          <w:rFonts w:hint="eastAsia" w:ascii="仿宋" w:hAnsi="仿宋" w:eastAsia="仿宋_GB2312" w:cs="仿宋"/>
          <w:b/>
          <w:color w:val="auto"/>
          <w:sz w:val="32"/>
          <w:szCs w:val="32"/>
          <w:lang w:val="en-US" w:eastAsia="zh-CN"/>
        </w:rPr>
        <w:t>二十七</w:t>
      </w:r>
      <w:r>
        <w:rPr>
          <w:rFonts w:hint="eastAsia" w:ascii="仿宋" w:hAnsi="仿宋" w:eastAsia="仿宋_GB2312" w:cs="仿宋"/>
          <w:b/>
          <w:color w:val="auto"/>
          <w:sz w:val="32"/>
          <w:szCs w:val="32"/>
        </w:rPr>
        <w:t>条</w:t>
      </w:r>
      <w:r>
        <w:rPr>
          <w:rFonts w:ascii="Calibri" w:hAnsi="Calibri" w:eastAsia="仿宋_GB2312" w:cs="Calibri"/>
          <w:color w:val="auto"/>
          <w:sz w:val="32"/>
          <w:szCs w:val="32"/>
        </w:rPr>
        <w:t> </w:t>
      </w:r>
      <w:r>
        <w:rPr>
          <w:rFonts w:hint="eastAsia" w:ascii="仿宋" w:hAnsi="仿宋" w:eastAsia="仿宋_GB2312" w:cs="仿宋"/>
          <w:color w:val="auto"/>
          <w:sz w:val="32"/>
          <w:szCs w:val="32"/>
        </w:rPr>
        <w:t>项目管理中存在违规行为的，按照有关规定给予相应处理，处理结果应当以适当方式向社会公布，并纳入科研信用记录。有严重违纪、违法行为的，依法依规移送相关部门严肃处理。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 w:hAnsi="仿宋" w:eastAsia="仿宋_GB2312"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仿宋"/>
          <w:b/>
          <w:color w:val="auto"/>
          <w:sz w:val="32"/>
          <w:szCs w:val="32"/>
        </w:rPr>
      </w:pPr>
      <w:r>
        <w:rPr>
          <w:rFonts w:hint="eastAsia" w:ascii="黑体" w:hAnsi="黑体" w:eastAsia="黑体" w:cs="黑体"/>
          <w:bCs/>
          <w:color w:val="auto"/>
          <w:sz w:val="32"/>
          <w:szCs w:val="32"/>
        </w:rPr>
        <w:t>第六章  附  则</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olor w:val="auto"/>
          <w:sz w:val="32"/>
          <w:szCs w:val="32"/>
        </w:rPr>
      </w:pPr>
      <w:r>
        <w:rPr>
          <w:rFonts w:hint="eastAsia" w:ascii="仿宋" w:hAnsi="仿宋" w:eastAsia="仿宋_GB2312" w:cs="仿宋"/>
          <w:b/>
          <w:bCs/>
          <w:color w:val="auto"/>
          <w:sz w:val="32"/>
          <w:szCs w:val="32"/>
        </w:rPr>
        <w:t>第</w:t>
      </w:r>
      <w:r>
        <w:rPr>
          <w:rFonts w:hint="eastAsia" w:ascii="仿宋" w:hAnsi="仿宋" w:eastAsia="仿宋_GB2312" w:cs="仿宋"/>
          <w:b/>
          <w:color w:val="auto"/>
          <w:sz w:val="32"/>
          <w:szCs w:val="32"/>
          <w:lang w:val="en-US" w:eastAsia="zh-CN"/>
        </w:rPr>
        <w:t>二十八</w:t>
      </w:r>
      <w:r>
        <w:rPr>
          <w:rFonts w:hint="eastAsia" w:ascii="仿宋" w:hAnsi="仿宋" w:eastAsia="仿宋_GB2312" w:cs="仿宋"/>
          <w:b/>
          <w:bCs/>
          <w:color w:val="auto"/>
          <w:sz w:val="32"/>
          <w:szCs w:val="32"/>
        </w:rPr>
        <w:t>条</w:t>
      </w:r>
      <w:r>
        <w:rPr>
          <w:rFonts w:hint="eastAsia" w:ascii="仿宋" w:hAnsi="仿宋" w:eastAsia="仿宋_GB2312" w:cs="仿宋"/>
          <w:color w:val="auto"/>
          <w:sz w:val="32"/>
          <w:szCs w:val="32"/>
        </w:rPr>
        <w:t xml:space="preserve"> 项目涉及保密的，按照国家相关保密规定执行。</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 w:hAnsi="仿宋" w:eastAsia="仿宋_GB2312" w:cs="仿宋"/>
          <w:color w:val="auto"/>
          <w:sz w:val="32"/>
          <w:szCs w:val="32"/>
        </w:rPr>
      </w:pPr>
      <w:r>
        <w:rPr>
          <w:rFonts w:hint="eastAsia" w:ascii="仿宋" w:hAnsi="仿宋" w:eastAsia="仿宋_GB2312" w:cs="仿宋"/>
          <w:b/>
          <w:color w:val="auto"/>
          <w:sz w:val="32"/>
          <w:szCs w:val="32"/>
        </w:rPr>
        <w:t>第</w:t>
      </w:r>
      <w:r>
        <w:rPr>
          <w:rFonts w:hint="eastAsia" w:ascii="仿宋" w:hAnsi="仿宋" w:eastAsia="仿宋_GB2312" w:cs="仿宋"/>
          <w:b/>
          <w:color w:val="auto"/>
          <w:sz w:val="32"/>
          <w:szCs w:val="32"/>
          <w:lang w:val="en-US" w:eastAsia="zh-CN"/>
        </w:rPr>
        <w:t>二十九</w:t>
      </w:r>
      <w:r>
        <w:rPr>
          <w:rFonts w:hint="eastAsia" w:ascii="仿宋" w:hAnsi="仿宋" w:eastAsia="仿宋_GB2312" w:cs="仿宋"/>
          <w:b/>
          <w:color w:val="auto"/>
          <w:sz w:val="32"/>
          <w:szCs w:val="32"/>
        </w:rPr>
        <w:t xml:space="preserve">条 </w:t>
      </w:r>
      <w:r>
        <w:rPr>
          <w:rFonts w:hint="eastAsia" w:ascii="仿宋" w:hAnsi="仿宋" w:eastAsia="仿宋_GB2312" w:cs="仿宋"/>
          <w:color w:val="auto"/>
          <w:sz w:val="32"/>
          <w:szCs w:val="32"/>
        </w:rPr>
        <w:t>本办法由省科技厅、省财政厅负责解释。</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both"/>
        <w:textAlignment w:val="auto"/>
        <w:rPr>
          <w:rFonts w:ascii="仿宋_GB2312" w:hAnsi="仿宋_GB2312" w:eastAsia="仿宋_GB2312" w:cs="仿宋_GB2312"/>
          <w:sz w:val="32"/>
          <w:szCs w:val="32"/>
        </w:rPr>
      </w:pPr>
      <w:r>
        <w:rPr>
          <w:rFonts w:hint="eastAsia" w:ascii="仿宋" w:hAnsi="仿宋" w:eastAsia="仿宋_GB2312" w:cs="仿宋"/>
          <w:b/>
          <w:color w:val="auto"/>
          <w:sz w:val="32"/>
          <w:szCs w:val="32"/>
        </w:rPr>
        <w:t xml:space="preserve">第三十条 </w:t>
      </w:r>
      <w:r>
        <w:rPr>
          <w:rFonts w:hint="eastAsia" w:ascii="仿宋" w:hAnsi="仿宋" w:eastAsia="仿宋_GB2312" w:cs="仿宋"/>
          <w:color w:val="auto"/>
          <w:sz w:val="32"/>
          <w:szCs w:val="32"/>
        </w:rPr>
        <w:t>本办法自发布之日起施行，《辽宁省科技计划项目管理办法》（辽科发</w:t>
      </w:r>
      <w:r>
        <w:rPr>
          <w:rFonts w:hint="default" w:ascii="Times New Roman" w:hAnsi="Times New Roman" w:eastAsia="仿宋_GB2312" w:cs="Times New Roman"/>
          <w:color w:val="auto"/>
          <w:sz w:val="32"/>
          <w:szCs w:val="32"/>
        </w:rPr>
        <w:t>〔2014〕46</w:t>
      </w:r>
      <w:r>
        <w:rPr>
          <w:rFonts w:ascii="仿宋" w:hAnsi="仿宋" w:eastAsia="仿宋_GB2312"/>
          <w:color w:val="auto"/>
          <w:sz w:val="32"/>
          <w:szCs w:val="32"/>
        </w:rPr>
        <w:t>号）</w:t>
      </w:r>
      <w:r>
        <w:rPr>
          <w:rFonts w:hint="eastAsia" w:ascii="仿宋" w:hAnsi="仿宋" w:eastAsia="仿宋_GB2312" w:cs="仿宋"/>
          <w:color w:val="auto"/>
          <w:sz w:val="32"/>
          <w:szCs w:val="32"/>
        </w:rPr>
        <w:t>同时废止。</w:t>
      </w:r>
      <w:r>
        <w:rPr>
          <w:rFonts w:ascii="仿宋_GB2312" w:hAnsi="仿宋_GB2312" w:eastAsia="仿宋_GB2312" w:cs="仿宋_GB2312"/>
          <w:sz w:val="32"/>
          <w:szCs w:val="32"/>
        </w:rPr>
        <w:br w:type="page"/>
      </w:r>
    </w:p>
    <w:tbl>
      <w:tblPr>
        <w:tblStyle w:val="10"/>
        <w:tblpPr w:leftFromText="180" w:rightFromText="180" w:vertAnchor="text" w:horzAnchor="page" w:tblpXSpec="center" w:tblpY="124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846" w:type="dxa"/>
            <w:tcBorders>
              <w:top w:val="single" w:color="auto" w:sz="8" w:space="0"/>
              <w:left w:val="nil"/>
              <w:bottom w:val="single" w:color="auto" w:sz="8" w:space="0"/>
              <w:right w:val="nil"/>
            </w:tcBorders>
          </w:tcPr>
          <w:p>
            <w:pPr>
              <w:adjustRightInd w:val="0"/>
              <w:spacing w:line="500" w:lineRule="exact"/>
              <w:contextualSpacing/>
              <w:jc w:val="center"/>
              <w:rPr>
                <w:rFonts w:eastAsia="仿宋"/>
                <w:color w:val="272727"/>
                <w:sz w:val="28"/>
                <w:szCs w:val="28"/>
              </w:rPr>
            </w:pPr>
            <w:r>
              <w:rPr>
                <w:rFonts w:hint="eastAsia" w:eastAsia="仿宋_GB2312"/>
                <w:color w:val="272727"/>
                <w:sz w:val="28"/>
                <w:szCs w:val="28"/>
              </w:rPr>
              <w:t xml:space="preserve">辽宁省科技厅办公室                      </w:t>
            </w:r>
            <w:r>
              <w:rPr>
                <w:rFonts w:hint="eastAsia" w:ascii="Times New Roman" w:hAnsi="Times New Roman" w:eastAsia="仿宋_GB2312"/>
                <w:color w:val="272727"/>
                <w:sz w:val="28"/>
                <w:szCs w:val="28"/>
              </w:rPr>
              <w:t>2022</w:t>
            </w:r>
            <w:r>
              <w:rPr>
                <w:rFonts w:hint="eastAsia" w:eastAsia="仿宋_GB2312"/>
                <w:color w:val="272727"/>
                <w:sz w:val="28"/>
                <w:szCs w:val="28"/>
              </w:rPr>
              <w:t>年</w:t>
            </w:r>
            <w:r>
              <w:rPr>
                <w:rFonts w:hint="eastAsia" w:ascii="Times New Roman" w:hAnsi="Times New Roman" w:eastAsia="仿宋_GB2312"/>
                <w:color w:val="272727"/>
                <w:sz w:val="28"/>
                <w:szCs w:val="28"/>
                <w:lang w:val="en-US" w:eastAsia="zh-CN"/>
              </w:rPr>
              <w:t>5</w:t>
            </w:r>
            <w:r>
              <w:rPr>
                <w:rFonts w:hint="eastAsia" w:eastAsia="仿宋_GB2312"/>
                <w:color w:val="272727"/>
                <w:sz w:val="28"/>
                <w:szCs w:val="28"/>
              </w:rPr>
              <w:t>月</w:t>
            </w:r>
            <w:r>
              <w:rPr>
                <w:rFonts w:hint="eastAsia"/>
                <w:color w:val="272727"/>
                <w:sz w:val="28"/>
                <w:szCs w:val="28"/>
                <w:lang w:val="en-US" w:eastAsia="zh-CN"/>
              </w:rPr>
              <w:t>25</w:t>
            </w:r>
            <w:r>
              <w:rPr>
                <w:rFonts w:hint="eastAsia" w:eastAsia="仿宋_GB2312"/>
                <w:color w:val="272727"/>
                <w:sz w:val="28"/>
                <w:szCs w:val="28"/>
              </w:rPr>
              <w:t>日印发</w:t>
            </w:r>
          </w:p>
        </w:tc>
      </w:tr>
    </w:tbl>
    <w:p>
      <w:pPr>
        <w:rPr>
          <w:rFonts w:eastAsia="仿宋_GB2312"/>
          <w:sz w:val="21"/>
          <w:szCs w:val="21"/>
        </w:rPr>
        <w:sectPr>
          <w:pgSz w:w="11906" w:h="16838"/>
          <w:pgMar w:top="2098" w:right="1531" w:bottom="1417" w:left="1531" w:header="851" w:footer="992" w:gutter="0"/>
          <w:pgNumType w:fmt="decimal"/>
          <w:cols w:space="425" w:num="1"/>
          <w:docGrid w:linePitch="435" w:charSpace="0"/>
        </w:sectPr>
      </w:pPr>
    </w:p>
    <w:p>
      <w:pPr>
        <w:keepNext w:val="0"/>
        <w:keepLines w:val="0"/>
        <w:pageBreakBefore w:val="0"/>
        <w:widowControl w:val="0"/>
        <w:kinsoku/>
        <w:wordWrap/>
        <w:overflowPunct/>
        <w:topLinePunct w:val="0"/>
        <w:autoSpaceDE/>
        <w:autoSpaceDN/>
        <w:bidi w:val="0"/>
        <w:adjustRightInd/>
        <w:snapToGrid/>
        <w:spacing w:line="20" w:lineRule="exact"/>
        <w:textAlignment w:val="auto"/>
        <w:rPr>
          <w:rFonts w:eastAsia="仿宋_GB2312"/>
          <w:sz w:val="21"/>
          <w:szCs w:val="21"/>
        </w:rPr>
      </w:pPr>
    </w:p>
    <w:sectPr>
      <w:footerReference r:id="rId5" w:type="default"/>
      <w:footerReference r:id="rId6" w:type="even"/>
      <w:pgSz w:w="11906" w:h="16838"/>
      <w:pgMar w:top="2098" w:right="1531" w:bottom="1984" w:left="1531" w:header="851" w:footer="992" w:gutter="0"/>
      <w:pgNumType w:fmt="decimal"/>
      <w:cols w:space="425"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Tahoma">
    <w:altName w:val="Droid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eastAsia="仿宋_GB2312"/>
        <w:sz w:val="24"/>
        <w:szCs w:val="24"/>
      </w:rPr>
    </w:pPr>
    <w:r>
      <w:rPr>
        <w:sz w:val="24"/>
      </w:rPr>
      <w:pict>
        <v:shape id="_x0000_s4097" o:spid="_x0000_s4097"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7"/>
                  <w:jc w:val="right"/>
                </w:pPr>
                <w:r>
                  <w:rPr>
                    <w:rFonts w:hint="eastAsia" w:eastAsia="仿宋_GB2312"/>
                    <w:sz w:val="24"/>
                    <w:szCs w:val="24"/>
                  </w:rPr>
                  <w:t>—</w:t>
                </w:r>
                <w:r>
                  <w:rPr>
                    <w:rFonts w:eastAsia="仿宋_GB2312"/>
                    <w:sz w:val="24"/>
                    <w:szCs w:val="24"/>
                  </w:rPr>
                  <w:fldChar w:fldCharType="begin"/>
                </w:r>
                <w:r>
                  <w:rPr>
                    <w:rFonts w:eastAsia="仿宋_GB2312"/>
                    <w:sz w:val="24"/>
                    <w:szCs w:val="24"/>
                  </w:rPr>
                  <w:instrText xml:space="preserve"> PAGE   \* MERGEFORMAT </w:instrText>
                </w:r>
                <w:r>
                  <w:rPr>
                    <w:rFonts w:eastAsia="仿宋_GB2312"/>
                    <w:sz w:val="24"/>
                    <w:szCs w:val="24"/>
                  </w:rPr>
                  <w:fldChar w:fldCharType="separate"/>
                </w:r>
                <w:r>
                  <w:rPr>
                    <w:rFonts w:eastAsia="仿宋_GB2312"/>
                    <w:sz w:val="24"/>
                    <w:szCs w:val="24"/>
                    <w:lang w:val="zh-CN"/>
                  </w:rPr>
                  <w:t>3</w:t>
                </w:r>
                <w:r>
                  <w:rPr>
                    <w:rFonts w:eastAsia="仿宋_GB2312"/>
                    <w:sz w:val="24"/>
                    <w:szCs w:val="24"/>
                  </w:rPr>
                  <w:fldChar w:fldCharType="end"/>
                </w:r>
                <w:r>
                  <w:rPr>
                    <w:rFonts w:hint="eastAsia" w:eastAsia="仿宋_GB2312"/>
                    <w:sz w:val="24"/>
                    <w:szCs w:val="24"/>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仿宋_GB2312"/>
        <w:sz w:val="24"/>
        <w:szCs w:val="24"/>
      </w:rPr>
    </w:pPr>
    <w:r>
      <w:rPr>
        <w:sz w:val="24"/>
      </w:rPr>
      <w:pict>
        <v:shape id="_x0000_s4098" o:spid="_x0000_s4098"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7"/>
                </w:pPr>
                <w:r>
                  <w:rPr>
                    <w:rFonts w:hint="eastAsia" w:eastAsia="仿宋_GB2312"/>
                    <w:sz w:val="24"/>
                    <w:szCs w:val="24"/>
                  </w:rPr>
                  <w:t>—</w:t>
                </w:r>
                <w:r>
                  <w:rPr>
                    <w:rFonts w:eastAsia="仿宋_GB2312"/>
                    <w:sz w:val="24"/>
                    <w:szCs w:val="24"/>
                  </w:rPr>
                  <w:fldChar w:fldCharType="begin"/>
                </w:r>
                <w:r>
                  <w:rPr>
                    <w:rFonts w:eastAsia="仿宋_GB2312"/>
                    <w:sz w:val="24"/>
                    <w:szCs w:val="24"/>
                  </w:rPr>
                  <w:instrText xml:space="preserve"> PAGE   \* MERGEFORMAT </w:instrText>
                </w:r>
                <w:r>
                  <w:rPr>
                    <w:rFonts w:eastAsia="仿宋_GB2312"/>
                    <w:sz w:val="24"/>
                    <w:szCs w:val="24"/>
                  </w:rPr>
                  <w:fldChar w:fldCharType="separate"/>
                </w:r>
                <w:r>
                  <w:rPr>
                    <w:rFonts w:eastAsia="仿宋_GB2312"/>
                    <w:sz w:val="24"/>
                    <w:szCs w:val="24"/>
                    <w:lang w:val="zh-CN"/>
                  </w:rPr>
                  <w:t>4</w:t>
                </w:r>
                <w:r>
                  <w:rPr>
                    <w:rFonts w:eastAsia="仿宋_GB2312"/>
                    <w:sz w:val="24"/>
                    <w:szCs w:val="24"/>
                  </w:rPr>
                  <w:fldChar w:fldCharType="end"/>
                </w:r>
                <w:r>
                  <w:rPr>
                    <w:rFonts w:hint="eastAsia" w:eastAsia="仿宋_GB2312"/>
                    <w:sz w:val="24"/>
                    <w:szCs w:val="24"/>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仿宋"/>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eastAsia="仿宋"/>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evenAndOddHeaders w:val="true"/>
  <w:drawingGridHorizontalSpacing w:val="160"/>
  <w:drawingGridVerticalSpacing w:val="613"/>
  <w:displayHorizontalDrawingGridEvery w:val="0"/>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3NjJlMzgxZGJmNDMxMGJiNWZlYzRjZWRmMGI3NmUifQ=="/>
  </w:docVars>
  <w:rsids>
    <w:rsidRoot w:val="00546D54"/>
    <w:rsid w:val="000100A1"/>
    <w:rsid w:val="000116E7"/>
    <w:rsid w:val="00011CA2"/>
    <w:rsid w:val="00012F57"/>
    <w:rsid w:val="0001405A"/>
    <w:rsid w:val="00015F6A"/>
    <w:rsid w:val="00034977"/>
    <w:rsid w:val="00037C5C"/>
    <w:rsid w:val="000407DA"/>
    <w:rsid w:val="00042232"/>
    <w:rsid w:val="000438B9"/>
    <w:rsid w:val="000805AE"/>
    <w:rsid w:val="00081396"/>
    <w:rsid w:val="00083783"/>
    <w:rsid w:val="000A5FCA"/>
    <w:rsid w:val="000A685C"/>
    <w:rsid w:val="000B019C"/>
    <w:rsid w:val="000B4C4C"/>
    <w:rsid w:val="000B7E46"/>
    <w:rsid w:val="000C03DE"/>
    <w:rsid w:val="000C3D33"/>
    <w:rsid w:val="000C4037"/>
    <w:rsid w:val="000E4CC2"/>
    <w:rsid w:val="0011228D"/>
    <w:rsid w:val="00116CFA"/>
    <w:rsid w:val="0012399E"/>
    <w:rsid w:val="00125AC4"/>
    <w:rsid w:val="0013154E"/>
    <w:rsid w:val="00132A47"/>
    <w:rsid w:val="00136C9B"/>
    <w:rsid w:val="0014214D"/>
    <w:rsid w:val="00150449"/>
    <w:rsid w:val="00157A47"/>
    <w:rsid w:val="0016136E"/>
    <w:rsid w:val="00162167"/>
    <w:rsid w:val="00164A50"/>
    <w:rsid w:val="00177989"/>
    <w:rsid w:val="00186560"/>
    <w:rsid w:val="001934BD"/>
    <w:rsid w:val="001A0939"/>
    <w:rsid w:val="001A348A"/>
    <w:rsid w:val="001A4C2B"/>
    <w:rsid w:val="001B5114"/>
    <w:rsid w:val="001B6004"/>
    <w:rsid w:val="001C35CF"/>
    <w:rsid w:val="001D0659"/>
    <w:rsid w:val="001D554E"/>
    <w:rsid w:val="001D630F"/>
    <w:rsid w:val="001D6610"/>
    <w:rsid w:val="001F041A"/>
    <w:rsid w:val="001F0F1D"/>
    <w:rsid w:val="001F26F2"/>
    <w:rsid w:val="001F4576"/>
    <w:rsid w:val="001F6FDB"/>
    <w:rsid w:val="0021081D"/>
    <w:rsid w:val="00224E54"/>
    <w:rsid w:val="00255628"/>
    <w:rsid w:val="0028596A"/>
    <w:rsid w:val="002A0251"/>
    <w:rsid w:val="002A2515"/>
    <w:rsid w:val="002A393A"/>
    <w:rsid w:val="002A52F0"/>
    <w:rsid w:val="002B26F0"/>
    <w:rsid w:val="002B5ED2"/>
    <w:rsid w:val="002C33C9"/>
    <w:rsid w:val="002D7248"/>
    <w:rsid w:val="002E1332"/>
    <w:rsid w:val="002E36FF"/>
    <w:rsid w:val="002E6360"/>
    <w:rsid w:val="002F1403"/>
    <w:rsid w:val="003040F3"/>
    <w:rsid w:val="003067E7"/>
    <w:rsid w:val="0030781C"/>
    <w:rsid w:val="00314738"/>
    <w:rsid w:val="00315A75"/>
    <w:rsid w:val="00323989"/>
    <w:rsid w:val="003336A3"/>
    <w:rsid w:val="00335C8A"/>
    <w:rsid w:val="00357A94"/>
    <w:rsid w:val="0036562F"/>
    <w:rsid w:val="00366907"/>
    <w:rsid w:val="00375A49"/>
    <w:rsid w:val="003810A1"/>
    <w:rsid w:val="003817F4"/>
    <w:rsid w:val="00395F92"/>
    <w:rsid w:val="003A158A"/>
    <w:rsid w:val="003B41F0"/>
    <w:rsid w:val="003B4EEA"/>
    <w:rsid w:val="003B5598"/>
    <w:rsid w:val="003B64CC"/>
    <w:rsid w:val="003C25A9"/>
    <w:rsid w:val="003C25C8"/>
    <w:rsid w:val="003C4F57"/>
    <w:rsid w:val="003C6838"/>
    <w:rsid w:val="003D4B3E"/>
    <w:rsid w:val="003D6880"/>
    <w:rsid w:val="003F130F"/>
    <w:rsid w:val="003F6FEF"/>
    <w:rsid w:val="004028A2"/>
    <w:rsid w:val="0041199A"/>
    <w:rsid w:val="0041241E"/>
    <w:rsid w:val="004310DC"/>
    <w:rsid w:val="0043416A"/>
    <w:rsid w:val="00440D83"/>
    <w:rsid w:val="0044435C"/>
    <w:rsid w:val="0045104F"/>
    <w:rsid w:val="004572D1"/>
    <w:rsid w:val="004611F4"/>
    <w:rsid w:val="0046484D"/>
    <w:rsid w:val="00466779"/>
    <w:rsid w:val="0047132E"/>
    <w:rsid w:val="00492C82"/>
    <w:rsid w:val="00494287"/>
    <w:rsid w:val="00495F8C"/>
    <w:rsid w:val="0049781C"/>
    <w:rsid w:val="004B0710"/>
    <w:rsid w:val="004C3EBB"/>
    <w:rsid w:val="004C6E19"/>
    <w:rsid w:val="004E48B8"/>
    <w:rsid w:val="004F5E54"/>
    <w:rsid w:val="004F758C"/>
    <w:rsid w:val="00505A13"/>
    <w:rsid w:val="00514ED0"/>
    <w:rsid w:val="00525852"/>
    <w:rsid w:val="0053451E"/>
    <w:rsid w:val="00546D54"/>
    <w:rsid w:val="00552548"/>
    <w:rsid w:val="00561D88"/>
    <w:rsid w:val="005777E8"/>
    <w:rsid w:val="005906A7"/>
    <w:rsid w:val="00590784"/>
    <w:rsid w:val="005922BA"/>
    <w:rsid w:val="0059306A"/>
    <w:rsid w:val="005C67FB"/>
    <w:rsid w:val="005D322F"/>
    <w:rsid w:val="005F622B"/>
    <w:rsid w:val="005F68D6"/>
    <w:rsid w:val="006042D4"/>
    <w:rsid w:val="006071F1"/>
    <w:rsid w:val="00614620"/>
    <w:rsid w:val="00617B79"/>
    <w:rsid w:val="00624500"/>
    <w:rsid w:val="00632AD2"/>
    <w:rsid w:val="0063460D"/>
    <w:rsid w:val="0064084C"/>
    <w:rsid w:val="00644AE7"/>
    <w:rsid w:val="00654465"/>
    <w:rsid w:val="00655FC1"/>
    <w:rsid w:val="006660E6"/>
    <w:rsid w:val="00680FB5"/>
    <w:rsid w:val="00682671"/>
    <w:rsid w:val="0068368F"/>
    <w:rsid w:val="0068642E"/>
    <w:rsid w:val="00697DD8"/>
    <w:rsid w:val="006A0B9B"/>
    <w:rsid w:val="006A4D31"/>
    <w:rsid w:val="006C4FAB"/>
    <w:rsid w:val="006C6485"/>
    <w:rsid w:val="006C7DCE"/>
    <w:rsid w:val="006D720B"/>
    <w:rsid w:val="006E3E84"/>
    <w:rsid w:val="006F61B0"/>
    <w:rsid w:val="00700C98"/>
    <w:rsid w:val="00704349"/>
    <w:rsid w:val="00710435"/>
    <w:rsid w:val="00714BC8"/>
    <w:rsid w:val="00731419"/>
    <w:rsid w:val="00732056"/>
    <w:rsid w:val="00734C86"/>
    <w:rsid w:val="007354F4"/>
    <w:rsid w:val="007412F8"/>
    <w:rsid w:val="007466F1"/>
    <w:rsid w:val="00747A1B"/>
    <w:rsid w:val="00753B6C"/>
    <w:rsid w:val="00753C4C"/>
    <w:rsid w:val="00763D7E"/>
    <w:rsid w:val="0076551F"/>
    <w:rsid w:val="00771C73"/>
    <w:rsid w:val="007732D8"/>
    <w:rsid w:val="00792D22"/>
    <w:rsid w:val="00794807"/>
    <w:rsid w:val="007A712B"/>
    <w:rsid w:val="007B1EAE"/>
    <w:rsid w:val="007C129B"/>
    <w:rsid w:val="007E0DAA"/>
    <w:rsid w:val="007E4592"/>
    <w:rsid w:val="007F0C87"/>
    <w:rsid w:val="00801EB1"/>
    <w:rsid w:val="00810C3E"/>
    <w:rsid w:val="0081249E"/>
    <w:rsid w:val="00814343"/>
    <w:rsid w:val="008171A7"/>
    <w:rsid w:val="00840941"/>
    <w:rsid w:val="00840E44"/>
    <w:rsid w:val="008464E3"/>
    <w:rsid w:val="0085469C"/>
    <w:rsid w:val="00855C98"/>
    <w:rsid w:val="00857073"/>
    <w:rsid w:val="00861044"/>
    <w:rsid w:val="008653CD"/>
    <w:rsid w:val="00885529"/>
    <w:rsid w:val="00891C5C"/>
    <w:rsid w:val="008A2449"/>
    <w:rsid w:val="008B25F4"/>
    <w:rsid w:val="008C2406"/>
    <w:rsid w:val="008C72FF"/>
    <w:rsid w:val="008D464C"/>
    <w:rsid w:val="008D499A"/>
    <w:rsid w:val="008D7813"/>
    <w:rsid w:val="008F0E2D"/>
    <w:rsid w:val="009014BF"/>
    <w:rsid w:val="009044FB"/>
    <w:rsid w:val="0090564C"/>
    <w:rsid w:val="00911B82"/>
    <w:rsid w:val="00925FE7"/>
    <w:rsid w:val="009317C7"/>
    <w:rsid w:val="00935EF0"/>
    <w:rsid w:val="00955E81"/>
    <w:rsid w:val="00966F70"/>
    <w:rsid w:val="009858CD"/>
    <w:rsid w:val="0099196B"/>
    <w:rsid w:val="009929C2"/>
    <w:rsid w:val="009930DE"/>
    <w:rsid w:val="00993BDF"/>
    <w:rsid w:val="009A3676"/>
    <w:rsid w:val="009A7B57"/>
    <w:rsid w:val="009B57B4"/>
    <w:rsid w:val="009C46F9"/>
    <w:rsid w:val="009C65EF"/>
    <w:rsid w:val="009D2943"/>
    <w:rsid w:val="009D2D39"/>
    <w:rsid w:val="009D3ED5"/>
    <w:rsid w:val="009D41BD"/>
    <w:rsid w:val="009D5DF4"/>
    <w:rsid w:val="009E2307"/>
    <w:rsid w:val="009E3F74"/>
    <w:rsid w:val="009E5EB1"/>
    <w:rsid w:val="009F4BE7"/>
    <w:rsid w:val="00A149DF"/>
    <w:rsid w:val="00A225BB"/>
    <w:rsid w:val="00A24A6A"/>
    <w:rsid w:val="00A3573E"/>
    <w:rsid w:val="00A35D15"/>
    <w:rsid w:val="00A5417E"/>
    <w:rsid w:val="00A85CDE"/>
    <w:rsid w:val="00A86F14"/>
    <w:rsid w:val="00AA5F74"/>
    <w:rsid w:val="00AB1DE6"/>
    <w:rsid w:val="00AB1EBA"/>
    <w:rsid w:val="00AC4B3C"/>
    <w:rsid w:val="00AC6CFE"/>
    <w:rsid w:val="00AD1344"/>
    <w:rsid w:val="00AE5F3D"/>
    <w:rsid w:val="00AF2FA2"/>
    <w:rsid w:val="00B03868"/>
    <w:rsid w:val="00B06778"/>
    <w:rsid w:val="00B378D4"/>
    <w:rsid w:val="00B45F8B"/>
    <w:rsid w:val="00B50D7A"/>
    <w:rsid w:val="00B5239A"/>
    <w:rsid w:val="00B5714C"/>
    <w:rsid w:val="00B60EB3"/>
    <w:rsid w:val="00B861BF"/>
    <w:rsid w:val="00B8626D"/>
    <w:rsid w:val="00B866D7"/>
    <w:rsid w:val="00BA17AF"/>
    <w:rsid w:val="00BA7C44"/>
    <w:rsid w:val="00BB0B81"/>
    <w:rsid w:val="00BB25CD"/>
    <w:rsid w:val="00BD183B"/>
    <w:rsid w:val="00BE378C"/>
    <w:rsid w:val="00BF426F"/>
    <w:rsid w:val="00BF4E80"/>
    <w:rsid w:val="00BF7A3C"/>
    <w:rsid w:val="00C01F80"/>
    <w:rsid w:val="00C13332"/>
    <w:rsid w:val="00C238B9"/>
    <w:rsid w:val="00C370ED"/>
    <w:rsid w:val="00C46AD3"/>
    <w:rsid w:val="00C509EF"/>
    <w:rsid w:val="00C562AE"/>
    <w:rsid w:val="00C60D9C"/>
    <w:rsid w:val="00C67CEA"/>
    <w:rsid w:val="00C713FB"/>
    <w:rsid w:val="00C73888"/>
    <w:rsid w:val="00C76106"/>
    <w:rsid w:val="00C7653D"/>
    <w:rsid w:val="00C97108"/>
    <w:rsid w:val="00CA1E2D"/>
    <w:rsid w:val="00CA3B0A"/>
    <w:rsid w:val="00CB56BD"/>
    <w:rsid w:val="00CB6127"/>
    <w:rsid w:val="00CD4F38"/>
    <w:rsid w:val="00CE5F8C"/>
    <w:rsid w:val="00CE7915"/>
    <w:rsid w:val="00CF39A7"/>
    <w:rsid w:val="00D15E9E"/>
    <w:rsid w:val="00D16E12"/>
    <w:rsid w:val="00D365CD"/>
    <w:rsid w:val="00D468A6"/>
    <w:rsid w:val="00D511E3"/>
    <w:rsid w:val="00D5171C"/>
    <w:rsid w:val="00D541B7"/>
    <w:rsid w:val="00D60835"/>
    <w:rsid w:val="00D62D35"/>
    <w:rsid w:val="00D80508"/>
    <w:rsid w:val="00D86A02"/>
    <w:rsid w:val="00D904E3"/>
    <w:rsid w:val="00D95053"/>
    <w:rsid w:val="00D977B3"/>
    <w:rsid w:val="00DC0BF1"/>
    <w:rsid w:val="00DC41A3"/>
    <w:rsid w:val="00DD199E"/>
    <w:rsid w:val="00DD7465"/>
    <w:rsid w:val="00DF592E"/>
    <w:rsid w:val="00E02607"/>
    <w:rsid w:val="00E04C17"/>
    <w:rsid w:val="00E07FF6"/>
    <w:rsid w:val="00E12EC3"/>
    <w:rsid w:val="00E23E8D"/>
    <w:rsid w:val="00E34475"/>
    <w:rsid w:val="00E35337"/>
    <w:rsid w:val="00E459ED"/>
    <w:rsid w:val="00E56B9C"/>
    <w:rsid w:val="00E60EC5"/>
    <w:rsid w:val="00E75095"/>
    <w:rsid w:val="00E769E3"/>
    <w:rsid w:val="00E772E1"/>
    <w:rsid w:val="00E83A5C"/>
    <w:rsid w:val="00E948EF"/>
    <w:rsid w:val="00EA0A62"/>
    <w:rsid w:val="00EA0E9F"/>
    <w:rsid w:val="00EA411F"/>
    <w:rsid w:val="00EA5FB5"/>
    <w:rsid w:val="00EB7C9D"/>
    <w:rsid w:val="00EC2ED4"/>
    <w:rsid w:val="00EC56F7"/>
    <w:rsid w:val="00ED10C8"/>
    <w:rsid w:val="00ED7FB7"/>
    <w:rsid w:val="00EE126A"/>
    <w:rsid w:val="00EF1E23"/>
    <w:rsid w:val="00F07B93"/>
    <w:rsid w:val="00F16D80"/>
    <w:rsid w:val="00F23C29"/>
    <w:rsid w:val="00F257B4"/>
    <w:rsid w:val="00F30449"/>
    <w:rsid w:val="00F34A10"/>
    <w:rsid w:val="00F34A2F"/>
    <w:rsid w:val="00F43409"/>
    <w:rsid w:val="00F448AA"/>
    <w:rsid w:val="00F54DA9"/>
    <w:rsid w:val="00F65621"/>
    <w:rsid w:val="00F660A7"/>
    <w:rsid w:val="00F827FB"/>
    <w:rsid w:val="00F914B7"/>
    <w:rsid w:val="00F95BFD"/>
    <w:rsid w:val="00F9691A"/>
    <w:rsid w:val="00FA58A8"/>
    <w:rsid w:val="00FB0043"/>
    <w:rsid w:val="00FB72FB"/>
    <w:rsid w:val="00FD13AA"/>
    <w:rsid w:val="00FE247B"/>
    <w:rsid w:val="00FE2733"/>
    <w:rsid w:val="00FE6163"/>
    <w:rsid w:val="00FF0B70"/>
    <w:rsid w:val="00FF48C1"/>
    <w:rsid w:val="20BB6037"/>
    <w:rsid w:val="266D6B39"/>
    <w:rsid w:val="27515758"/>
    <w:rsid w:val="27FD1ED1"/>
    <w:rsid w:val="3AFE4D0B"/>
    <w:rsid w:val="3FBE4E0F"/>
    <w:rsid w:val="3FE557DD"/>
    <w:rsid w:val="49FC5941"/>
    <w:rsid w:val="50D33636"/>
    <w:rsid w:val="63611CE4"/>
    <w:rsid w:val="673512F5"/>
    <w:rsid w:val="68BA3BC9"/>
    <w:rsid w:val="7C3385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2"/>
    <w:semiHidden/>
    <w:unhideWhenUsed/>
    <w:qFormat/>
    <w:uiPriority w:val="99"/>
    <w:rPr>
      <w:rFonts w:ascii="宋体" w:eastAsia="宋体"/>
      <w:sz w:val="18"/>
      <w:szCs w:val="18"/>
    </w:rPr>
  </w:style>
  <w:style w:type="paragraph" w:styleId="3">
    <w:name w:val="Plain Text"/>
    <w:basedOn w:val="1"/>
    <w:unhideWhenUsed/>
    <w:qFormat/>
    <w:uiPriority w:val="0"/>
    <w:rPr>
      <w:rFonts w:ascii="宋体" w:hAnsi="Courier New"/>
      <w:kern w:val="0"/>
      <w:sz w:val="20"/>
      <w:szCs w:val="20"/>
    </w:rPr>
  </w:style>
  <w:style w:type="paragraph" w:styleId="4">
    <w:name w:val="Date"/>
    <w:basedOn w:val="1"/>
    <w:next w:val="1"/>
    <w:link w:val="18"/>
    <w:semiHidden/>
    <w:unhideWhenUsed/>
    <w:qFormat/>
    <w:uiPriority w:val="99"/>
    <w:pPr>
      <w:ind w:left="100" w:leftChars="2500"/>
    </w:pPr>
  </w:style>
  <w:style w:type="paragraph" w:styleId="5">
    <w:name w:val="Body Text Indent 2"/>
    <w:basedOn w:val="1"/>
    <w:link w:val="28"/>
    <w:qFormat/>
    <w:uiPriority w:val="0"/>
    <w:pPr>
      <w:spacing w:beforeLines="50" w:line="560" w:lineRule="exact"/>
      <w:ind w:firstLine="560" w:firstLineChars="200"/>
    </w:pPr>
    <w:rPr>
      <w:rFonts w:ascii="宋体" w:hAnsi="宋体" w:eastAsia="宋体" w:cs="Times New Roman"/>
      <w:sz w:val="28"/>
      <w:szCs w:val="28"/>
    </w:rPr>
  </w:style>
  <w:style w:type="paragraph" w:styleId="6">
    <w:name w:val="Balloon Text"/>
    <w:basedOn w:val="1"/>
    <w:link w:val="17"/>
    <w:semiHidden/>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unhideWhenUsed/>
    <w:qFormat/>
    <w:uiPriority w:val="0"/>
    <w:rPr>
      <w:color w:val="0000FF"/>
      <w:u w:val="single"/>
    </w:rPr>
  </w:style>
  <w:style w:type="character" w:customStyle="1" w:styleId="15">
    <w:name w:val="页眉 Char"/>
    <w:basedOn w:val="12"/>
    <w:link w:val="8"/>
    <w:qFormat/>
    <w:uiPriority w:val="99"/>
    <w:rPr>
      <w:sz w:val="18"/>
      <w:szCs w:val="18"/>
    </w:rPr>
  </w:style>
  <w:style w:type="character" w:customStyle="1" w:styleId="16">
    <w:name w:val="页脚 Char"/>
    <w:basedOn w:val="12"/>
    <w:link w:val="7"/>
    <w:qFormat/>
    <w:uiPriority w:val="99"/>
    <w:rPr>
      <w:sz w:val="18"/>
      <w:szCs w:val="18"/>
    </w:rPr>
  </w:style>
  <w:style w:type="character" w:customStyle="1" w:styleId="17">
    <w:name w:val="批注框文本 Char"/>
    <w:basedOn w:val="12"/>
    <w:link w:val="6"/>
    <w:semiHidden/>
    <w:qFormat/>
    <w:uiPriority w:val="99"/>
    <w:rPr>
      <w:sz w:val="18"/>
      <w:szCs w:val="18"/>
    </w:rPr>
  </w:style>
  <w:style w:type="character" w:customStyle="1" w:styleId="18">
    <w:name w:val="日期 Char"/>
    <w:basedOn w:val="12"/>
    <w:link w:val="4"/>
    <w:semiHidden/>
    <w:qFormat/>
    <w:uiPriority w:val="99"/>
  </w:style>
  <w:style w:type="paragraph" w:styleId="19">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20">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
    <w:name w:val="Char1"/>
    <w:basedOn w:val="2"/>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22">
    <w:name w:val="文档结构图 Char"/>
    <w:basedOn w:val="12"/>
    <w:link w:val="2"/>
    <w:semiHidden/>
    <w:qFormat/>
    <w:uiPriority w:val="99"/>
    <w:rPr>
      <w:rFonts w:ascii="宋体" w:eastAsia="宋体"/>
      <w:sz w:val="18"/>
      <w:szCs w:val="18"/>
    </w:rPr>
  </w:style>
  <w:style w:type="paragraph" w:customStyle="1" w:styleId="2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4">
    <w:name w:val="Subtle Emphasis"/>
    <w:qFormat/>
    <w:uiPriority w:val="19"/>
    <w:rPr>
      <w:i/>
      <w:iCs/>
      <w:color w:val="808080"/>
    </w:rPr>
  </w:style>
  <w:style w:type="paragraph" w:customStyle="1" w:styleId="25">
    <w:name w:val="正文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6">
    <w:name w:val="正文文本缩进 New"/>
    <w:basedOn w:val="25"/>
    <w:qFormat/>
    <w:uiPriority w:val="0"/>
    <w:pPr>
      <w:ind w:firstLine="640" w:firstLineChars="200"/>
    </w:pPr>
    <w:rPr>
      <w:rFonts w:ascii="宋体"/>
      <w:sz w:val="32"/>
      <w:szCs w:val="32"/>
    </w:rPr>
  </w:style>
  <w:style w:type="paragraph" w:customStyle="1" w:styleId="27">
    <w:name w:val="Default"/>
    <w:qFormat/>
    <w:uiPriority w:val="0"/>
    <w:pPr>
      <w:widowControl w:val="0"/>
      <w:autoSpaceDE w:val="0"/>
      <w:autoSpaceDN w:val="0"/>
      <w:adjustRightInd w:val="0"/>
      <w:jc w:val="both"/>
    </w:pPr>
    <w:rPr>
      <w:rFonts w:ascii="仿宋_GB2312" w:hAnsi="Times New Roman" w:eastAsia="仿宋_GB2312" w:cs="仿宋_GB2312"/>
      <w:color w:val="000000"/>
      <w:kern w:val="0"/>
      <w:sz w:val="24"/>
      <w:szCs w:val="24"/>
      <w:lang w:val="en-US" w:eastAsia="zh-CN" w:bidi="ar-SA"/>
    </w:rPr>
  </w:style>
  <w:style w:type="character" w:customStyle="1" w:styleId="28">
    <w:name w:val="正文文本缩进 2 Char"/>
    <w:basedOn w:val="12"/>
    <w:link w:val="5"/>
    <w:qFormat/>
    <w:uiPriority w:val="0"/>
    <w:rPr>
      <w:rFonts w:ascii="宋体" w:hAnsi="宋体" w:eastAsia="宋体" w:cs="Times New Roman"/>
      <w:sz w:val="28"/>
      <w:szCs w:val="28"/>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2622</Words>
  <Characters>2644</Characters>
  <Lines>10</Lines>
  <Paragraphs>2</Paragraphs>
  <TotalTime>7</TotalTime>
  <ScaleCrop>false</ScaleCrop>
  <LinksUpToDate>false</LinksUpToDate>
  <CharactersWithSpaces>2721</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2018-12-25T20:29:00Z</dcterms:created>
  <dc:creator>Windows 用户</dc:creator>
  <cp:lastModifiedBy>user</cp:lastModifiedBy>
  <cp:lastPrinted>2022-05-26T12:27:34Z</cp:lastPrinted>
  <dcterms:modified xsi:type="dcterms:W3CDTF">2022-05-26T12:32:26Z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3FAAE6DFF8E2479790242E2B2904F963</vt:lpwstr>
  </property>
</Properties>
</file>